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Verdana" w:hAnsi="Verdana" w:cs="Arial"/>
          <w:b/>
          <w:color w:val="CC0066"/>
          <w:sz w:val="20"/>
          <w:szCs w:val="20"/>
        </w:rPr>
      </w:pPr>
      <w:bookmarkStart w:id="3" w:name="_GoBack"/>
      <w:bookmarkEnd w:id="3"/>
      <w:r>
        <w:rPr>
          <w:rFonts w:ascii="Verdana" w:hAnsi="Verdana" w:cs="Arial"/>
          <w:b/>
          <w:color w:val="CC0066"/>
          <w:sz w:val="20"/>
          <w:szCs w:val="20"/>
        </w:rPr>
        <w:t>LEY DE INGRESOS PARA EL MUNICIPIO DE MOROLEÓN, GUANAJUATO, PARA EL EJERCICIO FISCAL DEL AÑO 2021</w:t>
      </w:r>
    </w:p>
    <w:p>
      <w:pPr>
        <w:spacing w:after="0" w:line="240" w:lineRule="auto"/>
        <w:jc w:val="both"/>
        <w:rPr>
          <w:rFonts w:ascii="Verdana" w:hAnsi="Verdana" w:cs="Arial"/>
          <w:sz w:val="20"/>
          <w:szCs w:val="20"/>
        </w:rPr>
      </w:pPr>
    </w:p>
    <w:p>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 xml:space="preserve">DIEGO SINHUE RODRÍGUEZ VALLEJO, GOBERNADOR CONSTITUCIONAL DEL ESTADO LIBRE Y SOBERANO DE GUANAJUATO, A LOS HABITANTES DEL MISMO SABED: </w:t>
      </w:r>
    </w:p>
    <w:p>
      <w:pPr>
        <w:adjustRightInd w:val="0"/>
        <w:spacing w:after="0" w:line="240" w:lineRule="auto"/>
        <w:jc w:val="both"/>
        <w:rPr>
          <w:rFonts w:ascii="Verdana" w:hAnsi="Verdana" w:cs="Century Gothic"/>
          <w:color w:val="000000"/>
          <w:sz w:val="16"/>
          <w:szCs w:val="16"/>
        </w:rPr>
      </w:pPr>
    </w:p>
    <w:p>
      <w:pPr>
        <w:pStyle w:val="53"/>
        <w:widowControl w:val="0"/>
        <w:spacing w:after="0" w:line="240" w:lineRule="auto"/>
        <w:ind w:firstLine="708"/>
        <w:rPr>
          <w:rFonts w:ascii="Verdana" w:hAnsi="Verdana" w:eastAsia="Calibri" w:cs="Century Gothic"/>
          <w:color w:val="000000"/>
          <w:sz w:val="16"/>
          <w:szCs w:val="16"/>
          <w:lang w:val="es-MX" w:eastAsia="en-US"/>
        </w:rPr>
      </w:pPr>
      <w:r>
        <w:rPr>
          <w:rFonts w:ascii="Verdana" w:hAnsi="Verdana" w:eastAsia="Calibri" w:cs="Century Gothic"/>
          <w:color w:val="000000"/>
          <w:sz w:val="16"/>
          <w:szCs w:val="16"/>
          <w:lang w:val="es-MX" w:eastAsia="en-US"/>
        </w:rPr>
        <w:t>QUE EL H. CONGRESO CONSTITUCIONAL DEL ESTADO LIBRE Y SOBERANO DE GUANAJUATO, HA TENIDO A BIEN DIRIGIRME El SIGUIENTE:</w:t>
      </w:r>
    </w:p>
    <w:p>
      <w:pPr>
        <w:pStyle w:val="15"/>
        <w:contextualSpacing/>
        <w:rPr>
          <w:rFonts w:ascii="Verdana" w:hAnsi="Verdana" w:eastAsia="Calibri"/>
          <w:b/>
          <w:bCs/>
          <w:smallCaps/>
          <w:sz w:val="16"/>
          <w:szCs w:val="16"/>
          <w:lang w:eastAsia="en-US"/>
        </w:rPr>
      </w:pPr>
    </w:p>
    <w:p>
      <w:pPr>
        <w:pStyle w:val="15"/>
        <w:contextualSpacing/>
        <w:jc w:val="center"/>
        <w:rPr>
          <w:rFonts w:ascii="Verdana" w:hAnsi="Verdana" w:eastAsia="Calibri"/>
          <w:b/>
          <w:bCs/>
          <w:smallCaps/>
          <w:sz w:val="18"/>
          <w:szCs w:val="18"/>
          <w:lang w:eastAsia="en-US"/>
        </w:rPr>
      </w:pPr>
      <w:r>
        <w:rPr>
          <w:rFonts w:ascii="Verdana" w:hAnsi="Verdana" w:eastAsia="Calibri"/>
          <w:b/>
          <w:bCs/>
          <w:smallCaps/>
          <w:sz w:val="18"/>
          <w:szCs w:val="18"/>
          <w:lang w:eastAsia="en-US"/>
        </w:rPr>
        <w:t>DECRETO NÚMERO 270</w:t>
      </w:r>
    </w:p>
    <w:p>
      <w:pPr>
        <w:pStyle w:val="15"/>
        <w:contextualSpacing/>
        <w:rPr>
          <w:rFonts w:ascii="Verdana" w:hAnsi="Verdana"/>
          <w:b/>
          <w:bCs/>
          <w:smallCaps/>
          <w:sz w:val="18"/>
          <w:szCs w:val="18"/>
        </w:rPr>
      </w:pPr>
    </w:p>
    <w:p>
      <w:pPr>
        <w:spacing w:line="240" w:lineRule="auto"/>
        <w:ind w:firstLine="708"/>
        <w:jc w:val="both"/>
        <w:rPr>
          <w:rFonts w:ascii="Verdana" w:hAnsi="Verdana" w:cs="Arial"/>
          <w:b/>
          <w:bCs/>
          <w:i/>
          <w:smallCaps/>
          <w:sz w:val="18"/>
          <w:szCs w:val="18"/>
        </w:rPr>
      </w:pPr>
      <w:r>
        <w:rPr>
          <w:rFonts w:ascii="Verdana" w:hAnsi="Verdana" w:cs="Arial"/>
          <w:b/>
          <w:bCs/>
          <w:i/>
          <w:smallCaps/>
          <w:sz w:val="18"/>
          <w:szCs w:val="18"/>
        </w:rPr>
        <w:t>LA SEXAGÉSIMA CUARTA LEGISLATURA CONSTITUCIONAL DEL CONGRESO DEL ESTADO LIBRE Y SOBERANO DE GUANAJUATO, D E C R E T A:</w:t>
      </w:r>
    </w:p>
    <w:p>
      <w:pPr>
        <w:spacing w:after="0" w:line="240" w:lineRule="auto"/>
        <w:jc w:val="both"/>
        <w:rPr>
          <w:rFonts w:ascii="Verdana" w:hAnsi="Verdana"/>
          <w:sz w:val="20"/>
          <w:szCs w:val="20"/>
        </w:rPr>
      </w:pPr>
    </w:p>
    <w:p>
      <w:pPr>
        <w:spacing w:after="0" w:line="240" w:lineRule="auto"/>
        <w:ind w:firstLine="709"/>
        <w:jc w:val="both"/>
        <w:rPr>
          <w:rFonts w:ascii="Verdana" w:hAnsi="Verdana"/>
          <w:sz w:val="20"/>
          <w:szCs w:val="20"/>
        </w:rPr>
      </w:pPr>
      <w:r>
        <w:rPr>
          <w:rFonts w:ascii="Verdana" w:hAnsi="Verdana"/>
          <w:b/>
          <w:sz w:val="20"/>
          <w:szCs w:val="20"/>
        </w:rPr>
        <w:t>Artículo Único.</w:t>
      </w:r>
      <w:r>
        <w:rPr>
          <w:rFonts w:ascii="Verdana" w:hAnsi="Verdana"/>
          <w:sz w:val="20"/>
          <w:szCs w:val="20"/>
        </w:rPr>
        <w:t xml:space="preserve"> Se expide la </w:t>
      </w:r>
      <w:r>
        <w:rPr>
          <w:rFonts w:ascii="Verdana" w:hAnsi="Verdana"/>
          <w:b/>
          <w:sz w:val="20"/>
          <w:szCs w:val="20"/>
        </w:rPr>
        <w:t>Ley de Ingresos para el Municipio de Moroleón, Guanajuato, para el Ejercicio Fiscal del año 2021</w:t>
      </w:r>
      <w:r>
        <w:rPr>
          <w:rFonts w:ascii="Verdana" w:hAnsi="Verdana"/>
          <w:sz w:val="20"/>
          <w:szCs w:val="20"/>
        </w:rPr>
        <w:t>, para quedar en los siguientes términos:</w:t>
      </w:r>
    </w:p>
    <w:p>
      <w:pPr>
        <w:spacing w:after="0" w:line="240" w:lineRule="auto"/>
        <w:jc w:val="both"/>
        <w:rPr>
          <w:rFonts w:ascii="Verdana" w:hAnsi="Verdana"/>
          <w:sz w:val="20"/>
          <w:szCs w:val="20"/>
        </w:rPr>
      </w:pPr>
    </w:p>
    <w:p>
      <w:pPr>
        <w:spacing w:after="0" w:line="240" w:lineRule="auto"/>
        <w:jc w:val="center"/>
        <w:rPr>
          <w:rFonts w:ascii="Verdana" w:hAnsi="Verdana"/>
          <w:sz w:val="20"/>
          <w:szCs w:val="20"/>
        </w:rPr>
      </w:pPr>
      <w:r>
        <w:rPr>
          <w:rFonts w:ascii="Verdana" w:hAnsi="Verdana" w:cs="Arial"/>
          <w:b/>
          <w:color w:val="000000" w:themeColor="text1"/>
          <w:sz w:val="20"/>
          <w:szCs w:val="20"/>
          <w:lang w:val="es-MX"/>
          <w14:textFill>
            <w14:solidFill>
              <w14:schemeClr w14:val="tx1"/>
            </w14:solidFill>
          </w14:textFill>
        </w:rPr>
        <w:t>LEY DE INGRESOS PARA EL MUNICIPIO DE MOROLEÓN, GUANAJUATO, PARA EL EJERCICIO FISCAL DEL AÑO 2021</w:t>
      </w:r>
    </w:p>
    <w:p>
      <w:pPr>
        <w:spacing w:after="0" w:line="240" w:lineRule="auto"/>
        <w:jc w:val="both"/>
        <w:rPr>
          <w:rFonts w:ascii="Verdana" w:hAnsi="Verdana"/>
          <w:sz w:val="20"/>
          <w:szCs w:val="20"/>
        </w:rPr>
      </w:pPr>
    </w:p>
    <w:p>
      <w:pPr>
        <w:pStyle w:val="85"/>
        <w:jc w:val="center"/>
        <w:rPr>
          <w:rFonts w:ascii="Verdana" w:hAnsi="Verdana"/>
          <w:b/>
          <w:bCs/>
          <w:sz w:val="20"/>
          <w:szCs w:val="20"/>
          <w:lang w:val="es-MX"/>
        </w:rPr>
      </w:pPr>
      <w:r>
        <w:rPr>
          <w:rFonts w:ascii="Verdana" w:hAnsi="Verdana"/>
          <w:b/>
          <w:bCs/>
          <w:sz w:val="20"/>
          <w:szCs w:val="20"/>
          <w:lang w:val="es-MX"/>
        </w:rPr>
        <w:t>CAPÍTULO PRIMERO</w:t>
      </w:r>
    </w:p>
    <w:p>
      <w:pPr>
        <w:pStyle w:val="85"/>
        <w:jc w:val="center"/>
        <w:rPr>
          <w:rFonts w:ascii="Verdana" w:hAnsi="Verdana"/>
          <w:b/>
          <w:bCs/>
          <w:sz w:val="20"/>
          <w:szCs w:val="20"/>
          <w:lang w:val="es-MX"/>
        </w:rPr>
      </w:pPr>
      <w:r>
        <w:rPr>
          <w:rFonts w:ascii="Verdana" w:hAnsi="Verdana"/>
          <w:b/>
          <w:bCs/>
          <w:sz w:val="20"/>
          <w:szCs w:val="20"/>
          <w:lang w:val="es-MX"/>
        </w:rPr>
        <w:t>NATURALEZA Y OBJETO DE LA LEY</w:t>
      </w:r>
    </w:p>
    <w:p>
      <w:pPr>
        <w:pStyle w:val="85"/>
        <w:jc w:val="both"/>
        <w:rPr>
          <w:rStyle w:val="223"/>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sz w:val="20"/>
          <w:szCs w:val="20"/>
          <w:lang w:val="es-MX"/>
        </w:rPr>
        <w:t>Artículo 1</w:t>
      </w:r>
      <w:r>
        <w:rPr>
          <w:rFonts w:ascii="Verdana" w:hAnsi="Verdana"/>
          <w:sz w:val="20"/>
          <w:szCs w:val="20"/>
          <w:lang w:val="es-MX"/>
        </w:rPr>
        <w:t>. La presente Ley es de orden público y tiene por objeto establecer los ingresos que percibirá la hacienda pública del municipio de Moroleón, Guanajuato, durante el ejercicio fiscal del año 2021, de conformidad con el Clasificador por Rubro de Ingreso, por los conceptos y en las cantidades estimadas que a continuación se enumeran:</w:t>
      </w:r>
    </w:p>
    <w:p>
      <w:pPr>
        <w:pStyle w:val="85"/>
        <w:jc w:val="both"/>
        <w:rPr>
          <w:rFonts w:ascii="Verdana" w:hAnsi="Verdana"/>
          <w:bCs/>
          <w:sz w:val="20"/>
          <w:szCs w:val="20"/>
        </w:rPr>
      </w:pPr>
    </w:p>
    <w:p>
      <w:pPr>
        <w:pStyle w:val="85"/>
        <w:jc w:val="both"/>
        <w:rPr>
          <w:rFonts w:ascii="Verdana" w:hAnsi="Verdana"/>
          <w:b/>
          <w:sz w:val="20"/>
          <w:szCs w:val="20"/>
        </w:rPr>
      </w:pPr>
      <w:r>
        <w:rPr>
          <w:rFonts w:ascii="Verdana" w:hAnsi="Verdana"/>
          <w:b/>
          <w:sz w:val="20"/>
          <w:szCs w:val="20"/>
        </w:rPr>
        <w:t>Ingresos Administración Centralizada</w:t>
      </w:r>
    </w:p>
    <w:p>
      <w:pPr>
        <w:pStyle w:val="85"/>
        <w:jc w:val="both"/>
        <w:rPr>
          <w:rFonts w:ascii="Verdana" w:hAnsi="Verdana"/>
          <w:sz w:val="20"/>
          <w:szCs w:val="20"/>
        </w:rPr>
      </w:pPr>
      <w:r>
        <w:rPr>
          <w:rFonts w:ascii="Verdana" w:hAnsi="Verdana"/>
          <w:sz w:val="20"/>
          <w:szCs w:val="20"/>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555"/>
        <w:gridCol w:w="5150"/>
        <w:gridCol w:w="24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5150" w:type="dxa"/>
            <w:tcBorders>
              <w:top w:val="single" w:color="000000" w:sz="6" w:space="0"/>
              <w:left w:val="nil"/>
              <w:bottom w:val="nil"/>
              <w:right w:val="single" w:color="000000" w:sz="6" w:space="0"/>
            </w:tcBorders>
            <w:vAlign w:val="center"/>
          </w:tcPr>
          <w:p>
            <w:pPr>
              <w:pStyle w:val="85"/>
              <w:jc w:val="center"/>
              <w:rPr>
                <w:rFonts w:ascii="Verdana" w:hAnsi="Verdana"/>
                <w:b/>
                <w:sz w:val="20"/>
                <w:szCs w:val="20"/>
                <w:lang w:val="es-MX" w:bidi="ar"/>
              </w:rPr>
            </w:pP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5150" w:type="dxa"/>
            <w:tcBorders>
              <w:top w:val="nil"/>
              <w:left w:val="nil"/>
              <w:bottom w:val="single" w:color="auto" w:sz="4"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5150" w:type="dxa"/>
            <w:tcBorders>
              <w:top w:val="single" w:color="auto" w:sz="4"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$241’363,148.98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$29’799,466.38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ind w:left="-173"/>
              <w:jc w:val="center"/>
              <w:rPr>
                <w:rFonts w:ascii="Verdana" w:hAnsi="Verdana"/>
                <w:sz w:val="20"/>
                <w:szCs w:val="20"/>
                <w:lang w:bidi="ar"/>
              </w:rPr>
            </w:pPr>
            <w:r>
              <w:rPr>
                <w:rFonts w:ascii="Verdana" w:hAnsi="Verdana"/>
                <w:sz w:val="20"/>
                <w:szCs w:val="20"/>
                <w:lang w:bidi="ar"/>
              </w:rPr>
              <w:t>1100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Impuestos sobre los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$422,000.00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1101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sobre juegos y apuestas permitidas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1102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sobre diversiones y espectáculos públicos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$422,000.00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1103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sobre rifas, sorteos, loterías y concursos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1200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Impuestos sobre el patrimonio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$27’129,958.11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1201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Impuesto predial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$26’951,190.63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1202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sobre división y lotificación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$178,767.48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Impuestos sobre la producción, el consumo y las transacciones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$1’283,549.94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1301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Explotación de mármoles, canteras, pizarras, basaltos, cal, entre otras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$32,000.00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1302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sobre adquisición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$1’251,549.94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1303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Impuesto de fraccionamientos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1400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Impuestos al comercio exterior</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Impuestos sobre nóminas y asimilables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1600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Impuestos ecológicos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1700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Accesorios de 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$963,958.33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1701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Recargos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$905,540.54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1702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Multas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$58,417.79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1703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Gastos de ejecución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1800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1900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Impuestos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2100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Aportaciones para fondos de vivienda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2200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Cuotas para la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2300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Cuotas de ahorro para el retiro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2400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Otras cuotas y aportaciones para la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2500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Accesorios de cuotas y aportaciones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3100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Contribuciones de mejoras por obras públicas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3900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Contribuciones de mejoras no comprendidas en la ley de ingresos vigente, causadas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$13’276,331.60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4100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Derechos por el uso, goce, aprovechamiento o explotación de bienes de dominio público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4101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Ocupación, uso y aprovechamiento de los bienes de dominio público del Municipio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4102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Explotación, uso de bienes muebles o inmuebles propiedad del Municipio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4103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Comercio ambulante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ind w:left="-173"/>
              <w:jc w:val="center"/>
              <w:rPr>
                <w:rFonts w:ascii="Verdana" w:hAnsi="Verdana"/>
                <w:sz w:val="20"/>
                <w:szCs w:val="20"/>
                <w:lang w:bidi="ar"/>
              </w:rPr>
            </w:pPr>
            <w:r>
              <w:rPr>
                <w:rFonts w:ascii="Verdana" w:hAnsi="Verdana"/>
                <w:sz w:val="20"/>
                <w:szCs w:val="20"/>
                <w:lang w:bidi="ar"/>
              </w:rPr>
              <w:t>4300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Derechos por prestación de servicios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$13’276,331.60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Por servicios de limpia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$198,000.00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Por servicios de panteones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$1’367,705.00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Por servicios de rastro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seguridad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$237,915.28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transporte público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$54,302.67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tránsito y vialidad</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$61,428.00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4307</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Por servicios de estacionamiento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$216,000.00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4308</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Por servicios de salud</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4309</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protección civil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$123,202.07</w:t>
            </w:r>
          </w:p>
          <w:p>
            <w:pPr>
              <w:pStyle w:val="85"/>
              <w:jc w:val="right"/>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4310</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obra pública y desarrollo urbano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$2’153,704.05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catastrales y prácticas de avalúos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$279,533.94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en materia de fraccionamientos y condominios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$11,334.14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expedición de licencias o permisos para el establecimiento de anuncios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$252,182.27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expedición de permisos eventuales para la venta de bebidas alcohólicas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en materia ambiental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expedición de documentos, tales como: constancias, certificados, certificaciones, cartas, entre otros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$185,187.22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4317</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pago de concesión, traspaso, cambios de giros en los mercados públicos municipales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4318</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 de alumbrado público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$8’135,836.96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4319</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 de agua potable (servicio centralizado)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4320</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cultura (casas de la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4321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asistencia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4322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Por servicios de juventud y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4323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rPr>
                <w:rFonts w:ascii="Verdana" w:hAnsi="Verdana"/>
                <w:sz w:val="20"/>
                <w:szCs w:val="20"/>
                <w:lang w:val="es-MX" w:bidi="ar"/>
              </w:rPr>
            </w:pPr>
            <w:r>
              <w:rPr>
                <w:rFonts w:ascii="Verdana" w:hAnsi="Verdana"/>
                <w:sz w:val="20"/>
                <w:szCs w:val="20"/>
                <w:lang w:val="es-MX" w:bidi="ar"/>
              </w:rPr>
              <w:t xml:space="preserve">Por servicios que presta departamento/patronato de la Feria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4400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4500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Accesorios de 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4501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Recargos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4502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Gastos de ejecución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4900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Derechos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$8’322,462.49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ind w:left="-173"/>
              <w:jc w:val="center"/>
              <w:rPr>
                <w:rFonts w:ascii="Verdana" w:hAnsi="Verdana"/>
                <w:sz w:val="20"/>
                <w:szCs w:val="20"/>
                <w:lang w:bidi="ar"/>
              </w:rPr>
            </w:pPr>
            <w:r>
              <w:rPr>
                <w:rFonts w:ascii="Verdana" w:hAnsi="Verdana"/>
                <w:sz w:val="20"/>
                <w:szCs w:val="20"/>
                <w:lang w:bidi="ar"/>
              </w:rPr>
              <w:t>5100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$8’322,462.49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$846,840.84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$4’820,949.48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$213,957.75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Servicios de trámite con dependencias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$1’539,000.00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5107</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5109</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Otros 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$901,414.42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$1’109,836.37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6100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$1’098,166.48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6101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Bases para licitación y movimientos padrones municipales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$48,700.00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6102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Arrastre y pensión de vehículos infraccionados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$102,696.00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6103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6104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Indemnizaciones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$17,000.00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6105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Sanciones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489"/>
              <w:jc w:val="center"/>
              <w:rPr>
                <w:rFonts w:ascii="Verdana" w:hAnsi="Verdana"/>
                <w:sz w:val="20"/>
                <w:szCs w:val="20"/>
                <w:lang w:bidi="ar"/>
              </w:rPr>
            </w:pPr>
            <w:r>
              <w:rPr>
                <w:rFonts w:ascii="Verdana" w:hAnsi="Verdana"/>
                <w:sz w:val="20"/>
                <w:szCs w:val="20"/>
                <w:lang w:bidi="ar"/>
              </w:rPr>
              <w:t>6106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Multas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$927,970.48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489"/>
              <w:jc w:val="center"/>
              <w:rPr>
                <w:rFonts w:ascii="Verdana" w:hAnsi="Verdana"/>
                <w:sz w:val="20"/>
                <w:szCs w:val="20"/>
                <w:lang w:bidi="ar"/>
              </w:rPr>
            </w:pPr>
            <w:r>
              <w:rPr>
                <w:rFonts w:ascii="Verdana" w:hAnsi="Verdana"/>
                <w:sz w:val="20"/>
                <w:szCs w:val="20"/>
                <w:lang w:bidi="ar"/>
              </w:rPr>
              <w:t>6107</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Otros 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$1,800.00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6200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Aprovechamientos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6300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Accesorios de 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$11,669.89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6301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Recargos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6302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Gastos de ejecución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$11,669.89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6900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Aprovechamientos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$188’855,052.14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8100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Participaciones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$107’159,285.00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Fondo general de participaciones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$67’322,077.00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Fondo de fomento municipal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$24’194,938.00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de fiscalización y recaudación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$6’410,100.00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especial sobre producción y servicios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$2’651,133.00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Gasolinas y diésel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$2’130,698.00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773" w:right="-261"/>
              <w:jc w:val="center"/>
              <w:rPr>
                <w:rFonts w:ascii="Verdana" w:hAnsi="Verdana"/>
                <w:sz w:val="20"/>
                <w:szCs w:val="20"/>
                <w:lang w:bidi="ar"/>
              </w:rPr>
            </w:pPr>
            <w:r>
              <w:rPr>
                <w:rFonts w:ascii="Verdana" w:hAnsi="Verdana"/>
                <w:sz w:val="20"/>
                <w:szCs w:val="20"/>
                <w:lang w:bidi="ar"/>
              </w:rPr>
              <w:t>8106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del impuesto sobre la renta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$4’450,339.00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8200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$55’318,116.00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8201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para la infraestructura social municipal (FAISM)</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$21’225,785.00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8202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de aportaciones para el fortalecimientos de los municipios (FORTAMUN)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$34’092,331.00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8300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$22’508,219.43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Convenios con la federación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p>
          <w:p>
            <w:pPr>
              <w:pStyle w:val="85"/>
              <w:jc w:val="right"/>
              <w:rPr>
                <w:rFonts w:ascii="Verdana" w:hAnsi="Verdana"/>
                <w:sz w:val="20"/>
                <w:szCs w:val="20"/>
                <w:lang w:bidi="ar"/>
              </w:rPr>
            </w:pPr>
            <w:r>
              <w:rPr>
                <w:rFonts w:ascii="Verdana" w:hAnsi="Verdana"/>
                <w:sz w:val="20"/>
                <w:szCs w:val="20"/>
                <w:lang w:bidi="ar"/>
              </w:rPr>
              <w:t>$0.00</w:t>
            </w:r>
          </w:p>
          <w:p>
            <w:pPr>
              <w:pStyle w:val="85"/>
              <w:jc w:val="right"/>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Intereses de la cuenta bancaria de convenios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Convenios con Gobierno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$20’368,219.43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Intereses de la cuenta bancaria de convenios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Convenios municipales (con beneficiarios de programas)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$2’140,000.00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8306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Intereses convenios con beneficiarios de programas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8400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Incentivos derivados de la colaboración fiscal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$3’869,431.71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Tenencia o uso de vehículos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$10,783.99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Fondo de compensación ISAN</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$174,668.00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8403</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Impuesto sobre automóviles nuevos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$1’212,942.00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8404</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ISR por la enajenación de bienes inmuebles (Artículo 126 Ley del Impuesto Sobre la Renta)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$105,544.00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8405</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Alcoholes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$812,786.00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8406</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Impuesto a la venta final de bebidas alcohólicas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$52,707.72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8407</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Convenios de colaboración en materia de administración del régimen de incorporación fiscal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$1’500,000.00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8408</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bidi="ar"/>
              </w:rPr>
            </w:pPr>
            <w:r>
              <w:rPr>
                <w:rFonts w:ascii="Verdana" w:hAnsi="Verdana"/>
                <w:sz w:val="20"/>
                <w:szCs w:val="20"/>
                <w:lang w:bidi="ar"/>
              </w:rPr>
              <w:t>Multas no fiscales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8500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513" w:hRule="atLeast"/>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8501</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para entidades federativas y municipios productores de hidrocarburos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655" w:hRule="atLeast"/>
          <w:jc w:val="center"/>
        </w:trPr>
        <w:tc>
          <w:tcPr>
            <w:tcW w:w="1396" w:type="dxa"/>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348"/>
              <w:jc w:val="both"/>
              <w:rPr>
                <w:rFonts w:ascii="Verdana" w:hAnsi="Verdana"/>
                <w:sz w:val="20"/>
                <w:szCs w:val="20"/>
                <w:lang w:bidi="ar"/>
              </w:rPr>
            </w:pPr>
            <w:r>
              <w:rPr>
                <w:rFonts w:ascii="Verdana" w:hAnsi="Verdana"/>
                <w:sz w:val="20"/>
                <w:szCs w:val="20"/>
                <w:lang w:bidi="ar"/>
              </w:rPr>
              <w:t>8502</w:t>
            </w:r>
          </w:p>
        </w:tc>
        <w:tc>
          <w:tcPr>
            <w:tcW w:w="5150" w:type="dxa"/>
            <w:tcBorders>
              <w:top w:val="single" w:color="000000" w:sz="6" w:space="0"/>
              <w:left w:val="nil"/>
              <w:bottom w:val="single" w:color="000000" w:sz="6" w:space="0"/>
              <w:right w:val="single" w:color="000000" w:sz="6" w:space="0"/>
            </w:tcBorders>
            <w:tcMar>
              <w:left w:w="900" w:type="dxa"/>
            </w:tcMar>
            <w:vAlign w:val="center"/>
          </w:tcPr>
          <w:p>
            <w:pPr>
              <w:pStyle w:val="85"/>
              <w:ind w:left="-616"/>
              <w:jc w:val="both"/>
              <w:rPr>
                <w:rFonts w:ascii="Verdana" w:hAnsi="Verdana"/>
                <w:sz w:val="20"/>
                <w:szCs w:val="20"/>
                <w:lang w:val="es-MX" w:bidi="ar"/>
              </w:rPr>
            </w:pPr>
            <w:r>
              <w:rPr>
                <w:rFonts w:ascii="Verdana" w:hAnsi="Verdana"/>
                <w:sz w:val="20"/>
                <w:szCs w:val="20"/>
                <w:lang w:val="es-MX" w:bidi="ar"/>
              </w:rPr>
              <w:t>Fondo para el desarrollo regional sustentable de estados y municipios mineros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p>
            <w:pPr>
              <w:pStyle w:val="85"/>
              <w:jc w:val="right"/>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5150" w:type="dxa"/>
            <w:tcBorders>
              <w:top w:val="single" w:color="000000" w:sz="6" w:space="0"/>
              <w:left w:val="nil"/>
              <w:bottom w:val="single" w:color="000000" w:sz="6" w:space="0"/>
              <w:right w:val="single" w:color="000000" w:sz="6" w:space="0"/>
            </w:tcBorders>
            <w:vAlign w:val="center"/>
          </w:tcPr>
          <w:p>
            <w:pPr>
              <w:pStyle w:val="85"/>
              <w:ind w:left="164"/>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01</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Endeudamiento interno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02</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Endeudamiento externo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396" w:type="dxa"/>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03</w:t>
            </w:r>
          </w:p>
        </w:tc>
        <w:tc>
          <w:tcPr>
            <w:tcW w:w="5150" w:type="dxa"/>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Financiamiento interno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sz w:val="20"/>
          <w:szCs w:val="20"/>
        </w:rPr>
      </w:pPr>
      <w:r>
        <w:rPr>
          <w:rFonts w:ascii="Verdana" w:hAnsi="Verdana"/>
          <w:b/>
          <w:sz w:val="20"/>
          <w:szCs w:val="20"/>
        </w:rPr>
        <w:t>Ingresos Entidades Paramunicipales</w:t>
      </w:r>
    </w:p>
    <w:p>
      <w:pPr>
        <w:pStyle w:val="85"/>
        <w:jc w:val="both"/>
        <w:rPr>
          <w:rFonts w:ascii="Verdana" w:hAnsi="Verdana"/>
          <w:sz w:val="20"/>
          <w:szCs w:val="20"/>
        </w:rPr>
      </w:pPr>
      <w:r>
        <w:rPr>
          <w:rFonts w:ascii="Verdana" w:hAnsi="Verdana"/>
          <w:sz w:val="20"/>
          <w:szCs w:val="20"/>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090"/>
        <w:gridCol w:w="5443"/>
        <w:gridCol w:w="2111"/>
      </w:tblGrid>
      <w:tr>
        <w:tblPrEx>
          <w:tblCellMar>
            <w:top w:w="120" w:type="dxa"/>
            <w:left w:w="120" w:type="dxa"/>
            <w:bottom w:w="120" w:type="dxa"/>
            <w:right w:w="12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bidi="ar"/>
              </w:rPr>
              <w:t>Sistema Municipal de Agua Potable y Alcantarillado</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$48’556,652.00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94"/>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94"/>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94"/>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94"/>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94"/>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$1,’096,020.00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ind w:left="-86"/>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$1’096,020.00</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71"/>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$1’096,020.00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71"/>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71"/>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71"/>
              <w:jc w:val="both"/>
              <w:rPr>
                <w:rFonts w:ascii="Verdana" w:hAnsi="Verdana"/>
                <w:sz w:val="20"/>
                <w:szCs w:val="20"/>
                <w:lang w:val="es-MX" w:bidi="ar"/>
              </w:rPr>
            </w:pPr>
            <w:r>
              <w:rPr>
                <w:rFonts w:ascii="Verdana" w:hAnsi="Verdana"/>
                <w:sz w:val="20"/>
                <w:szCs w:val="20"/>
                <w:lang w:val="es-MX" w:bidi="ar"/>
              </w:rPr>
              <w:t>Servicios de trámite con dependencias federales</w:t>
            </w:r>
          </w:p>
          <w:p>
            <w:pPr>
              <w:pStyle w:val="85"/>
              <w:ind w:left="-671"/>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val="es-MX" w:bidi="ar"/>
              </w:rPr>
            </w:pPr>
            <w:r>
              <w:rPr>
                <w:rFonts w:ascii="Verdana" w:hAnsi="Verdana"/>
                <w:sz w:val="20"/>
                <w:szCs w:val="20"/>
                <w:lang w:val="es-MX" w:bidi="ar"/>
              </w:rPr>
              <w:t>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5109</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Otros 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236"/>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236"/>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$41’060,632.00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$41’060,632.00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Venta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val="es-MX" w:bidi="ar"/>
              </w:rPr>
            </w:pPr>
            <w:r>
              <w:rPr>
                <w:rFonts w:ascii="Verdana" w:hAnsi="Verdana"/>
                <w:sz w:val="20"/>
                <w:szCs w:val="20"/>
                <w:lang w:val="es-MX" w:bidi="ar"/>
              </w:rPr>
              <w:t>Venta de mercancías, accesorios diversos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$71,556.00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Servicios de asistencia médica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Servicios de asistencia social</w:t>
            </w:r>
          </w:p>
          <w:p>
            <w:pPr>
              <w:pStyle w:val="85"/>
              <w:ind w:left="-544"/>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val="es-MX" w:bidi="ar"/>
              </w:rPr>
            </w:pPr>
            <w:r>
              <w:rPr>
                <w:rFonts w:ascii="Verdana" w:hAnsi="Verdana"/>
                <w:sz w:val="20"/>
                <w:szCs w:val="20"/>
                <w:lang w:val="es-MX" w:bidi="ar"/>
              </w:rPr>
              <w:t>Servicios de bibliotecas y casas de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val="es-MX" w:bidi="ar"/>
              </w:rPr>
            </w:pPr>
            <w:r>
              <w:rPr>
                <w:rFonts w:ascii="Verdana" w:hAnsi="Verdana"/>
                <w:sz w:val="20"/>
                <w:szCs w:val="20"/>
                <w:lang w:val="es-MX" w:bidi="ar"/>
              </w:rPr>
              <w:t>Servicios de promoción del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val="es-MX" w:bidi="ar"/>
              </w:rPr>
            </w:pPr>
            <w:r>
              <w:rPr>
                <w:rFonts w:ascii="Verdana" w:hAnsi="Verdana"/>
                <w:sz w:val="20"/>
                <w:szCs w:val="20"/>
                <w:lang w:val="es-MX" w:bidi="ar"/>
              </w:rPr>
              <w:t xml:space="preserve">Servicios relacionados con el agua potable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$40’989,076.00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7308</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jc w:val="both"/>
              <w:rPr>
                <w:rFonts w:ascii="Verdana" w:hAnsi="Verdana"/>
                <w:sz w:val="20"/>
                <w:szCs w:val="20"/>
                <w:lang w:val="es-MX" w:bidi="ar"/>
              </w:rPr>
            </w:pPr>
            <w:r>
              <w:rPr>
                <w:rFonts w:ascii="Verdana" w:hAnsi="Verdana"/>
                <w:sz w:val="20"/>
                <w:szCs w:val="20"/>
                <w:lang w:val="es-MX" w:bidi="ar"/>
              </w:rPr>
              <w:t>Uso o goce de bienes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7983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236"/>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236"/>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$6’400,000.00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$6’400,000.00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86"/>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86"/>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$3’200,000.00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86"/>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$3’200,000.00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44"/>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2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ind w:left="236"/>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106"/>
        <w:gridCol w:w="5424"/>
        <w:gridCol w:w="211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DIF Municipal</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$10’920,171.40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$23,757.28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$23,757.28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$23,757.28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Servicios de trámite con dependencias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5109</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Otros 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$2’108,025.71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$1’991,392.57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Venta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Venta de mercancías, accesorios diversos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Servicios de asistencia médica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$561,213.16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Servicios de asistencia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$1’370,048.30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Servicios de bibliotecas y casas de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$48,083.80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Servicios de promoción del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 xml:space="preserve">Servicios relacionados con el agua potable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7308</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Uso o goce de bienes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$12,047.31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$116,633.14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$116,633.14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7983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138"/>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$8’788,388.41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p>
          <w:p>
            <w:pPr>
              <w:pStyle w:val="85"/>
              <w:jc w:val="right"/>
              <w:rPr>
                <w:rFonts w:ascii="Verdana" w:hAnsi="Verdana"/>
                <w:sz w:val="20"/>
                <w:szCs w:val="20"/>
                <w:lang w:bidi="ar"/>
              </w:rPr>
            </w:pPr>
            <w:r>
              <w:rPr>
                <w:rFonts w:ascii="Verdana" w:hAnsi="Verdana"/>
                <w:sz w:val="20"/>
                <w:szCs w:val="20"/>
                <w:lang w:bidi="ar"/>
              </w:rPr>
              <w:t>$8’788,388.41</w:t>
            </w:r>
          </w:p>
          <w:p>
            <w:pPr>
              <w:pStyle w:val="85"/>
              <w:jc w:val="right"/>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$8’114,404.24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2"/>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$673,984.17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631"/>
              <w:jc w:val="center"/>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57"/>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ind w:left="-631"/>
              <w:jc w:val="center"/>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30"/>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2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ind w:left="250"/>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212"/>
        <w:gridCol w:w="5404"/>
        <w:gridCol w:w="202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Patronato de la Feria</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$3’929,938.09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131"/>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131"/>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131"/>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131"/>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131"/>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Servicios de trámite con dependencias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Por 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5109</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bidi="ar"/>
              </w:rPr>
            </w:pPr>
            <w:r>
              <w:rPr>
                <w:rFonts w:ascii="Verdana" w:hAnsi="Verdana"/>
                <w:sz w:val="20"/>
                <w:szCs w:val="20"/>
                <w:lang w:bidi="ar"/>
              </w:rPr>
              <w:t>Otros productos</w:t>
            </w:r>
          </w:p>
          <w:p>
            <w:pPr>
              <w:pStyle w:val="85"/>
              <w:ind w:left="-649"/>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273"/>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273"/>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273"/>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273"/>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$3’929,913.09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$3’929,913.09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$3’929,913.09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9"/>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64"/>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64"/>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ind w:left="-64"/>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ind w:left="116"/>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145"/>
        <w:gridCol w:w="5645"/>
        <w:gridCol w:w="185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Instituto Municipal de Vivienda</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$708,040.37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Servicios de trámite con dependencias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5109</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Otros 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ind w:left="-41"/>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139"/>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$350,000.00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$350,000.00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Venta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$350,000.00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Venta de mercancías, accesorios diversos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Servicios de asistencia médica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Servicios de asistencia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Servicios de bibliotecas y casas de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Servicios de promoción del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 xml:space="preserve">Servicios relacionados con el agua potable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7308</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Uso o goce de bienes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7983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124"/>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124"/>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$358,010.37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$358,010.37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$358,010.37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41"/>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656"/>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29"/>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2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ind w:left="251"/>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113"/>
        <w:gridCol w:w="5526"/>
        <w:gridCol w:w="200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Instituto Municipal de Planeación</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$1’455,039.05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$12,775.37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p>
            <w:pPr>
              <w:pStyle w:val="85"/>
              <w:jc w:val="right"/>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$12,775.37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Venta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Venta de mercancías, accesorios diversos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$12,775.37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Servicios de asistencia médica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Servicios de asistencia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de bibliotecas y casas de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de promoción del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 xml:space="preserve">Servicios relacionados con el agua potable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7308</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Uso o goce de bienes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7983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$1’442,263.68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$1’442,263.68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$1’442,263.68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74"/>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74"/>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113"/>
        <w:gridCol w:w="5526"/>
        <w:gridCol w:w="200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val="es-MX" w:bidi="ar"/>
              </w:rPr>
            </w:pPr>
            <w:r>
              <w:rPr>
                <w:rFonts w:ascii="Verdana" w:hAnsi="Verdana"/>
                <w:b/>
                <w:sz w:val="20"/>
                <w:szCs w:val="20"/>
                <w:lang w:val="es-MX"/>
              </w:rPr>
              <w:t>Clasificador por Rubro de Ingreso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Casa de la Cultura</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Ingresos estimados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Total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b/>
                <w:sz w:val="20"/>
                <w:szCs w:val="20"/>
                <w:lang w:bidi="ar"/>
              </w:rPr>
            </w:pPr>
            <w:r>
              <w:rPr>
                <w:rFonts w:ascii="Verdana" w:hAnsi="Verdana"/>
                <w:b/>
                <w:sz w:val="20"/>
                <w:szCs w:val="20"/>
                <w:lang w:bidi="ar"/>
              </w:rPr>
              <w:t>$2’544,144.78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Impuestos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 xml:space="preserve">Cuotas y aportaciones de seguridad social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Contribuciones de mejoras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Derechos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Capitales y valores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Uso y arrendamiento de bienes muebles e inmuebles propiedad del Municipio con particulares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Formas valoradas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de trámite con dependencias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en materia de acceso a la información pública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Enajenación de bienes 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Enajenación de bienes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5109</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Otros productos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5900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Productos no comprendidos en la ley de ingresos vigente, causados en ejercicios fiscales anteriores pendientes de liquidación o pago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bidi="ar"/>
              </w:rPr>
            </w:pPr>
            <w:r>
              <w:rPr>
                <w:rFonts w:ascii="Verdana" w:hAnsi="Verdana"/>
                <w:sz w:val="20"/>
                <w:szCs w:val="20"/>
                <w:lang w:bidi="ar"/>
              </w:rPr>
              <w:t>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Ingresos por venta de bienes, prestación de servicios y 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$215,216.02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instituciones públicas de seguridad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7200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empresas productivas del Estado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y fideicomisos no empresariales y no financieros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$215,216.02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Venta de inmuebles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Venta de mercancías, accesorios diversos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Servicios de asistencia médica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7304</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Servicios de asistencia social</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7305</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de bibliotecas y casas de cultura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$210,066.02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7306</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Servicios de promoción del deporte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7307</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 xml:space="preserve">Servicios relacionados con el agua potable </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7308</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Uso o goce de bienes patrimoniales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$5,150.00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7400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no financieras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monetarias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7600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entidades paraestatales empresariales financieras no monetarias con participación estatal mayoritaria</w:t>
            </w:r>
          </w:p>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fideicomisos financieros públicos con participación estatal mayoritaria</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7800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Ingresos por venta de bienes y prestación de servicios de los poderes legislativo y judicial, y de los órganos autónomos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7900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Otros ingresos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Donativos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7983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bidi="ar"/>
              </w:rPr>
            </w:pPr>
            <w:r>
              <w:rPr>
                <w:rFonts w:ascii="Verdana" w:hAnsi="Verdana"/>
                <w:sz w:val="20"/>
                <w:szCs w:val="20"/>
                <w:lang w:bidi="ar"/>
              </w:rPr>
              <w:t>Convenios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Participaciones, aportaciones, convenios, incentivos derivados de la colaboración fiscal y fondos distintos de aportaciones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ind w:left="221"/>
              <w:jc w:val="both"/>
              <w:rPr>
                <w:rFonts w:ascii="Verdana" w:hAnsi="Verdana"/>
                <w:sz w:val="20"/>
                <w:szCs w:val="20"/>
                <w:lang w:val="es-MX" w:bidi="ar"/>
              </w:rPr>
            </w:pPr>
            <w:r>
              <w:rPr>
                <w:rFonts w:ascii="Verdana" w:hAnsi="Verdana"/>
                <w:sz w:val="20"/>
                <w:szCs w:val="20"/>
                <w:lang w:val="es-MX" w:bidi="ar"/>
              </w:rPr>
              <w:t>Transferencias, asignaciones, subsidios y subvenciones, y 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$2’328,878.76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9100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Transferencias y asignaciones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$2’328,878.76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cuenta corriente</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$2’097,398.76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9102</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recursos federales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9103</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59"/>
              <w:jc w:val="both"/>
              <w:rPr>
                <w:rFonts w:ascii="Verdana" w:hAnsi="Verdana"/>
                <w:sz w:val="20"/>
                <w:szCs w:val="20"/>
                <w:lang w:val="es-MX" w:bidi="ar"/>
              </w:rPr>
            </w:pPr>
            <w:r>
              <w:rPr>
                <w:rFonts w:ascii="Verdana" w:hAnsi="Verdana"/>
                <w:sz w:val="20"/>
                <w:szCs w:val="20"/>
                <w:lang w:val="es-MX" w:bidi="ar"/>
              </w:rPr>
              <w:t>Transferencias y asignaciones recursos estatales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$231,480.00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9300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9301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74"/>
              <w:jc w:val="both"/>
              <w:rPr>
                <w:rFonts w:ascii="Verdana" w:hAnsi="Verdana"/>
                <w:sz w:val="20"/>
                <w:szCs w:val="20"/>
                <w:lang w:bidi="ar"/>
              </w:rPr>
            </w:pPr>
            <w:r>
              <w:rPr>
                <w:rFonts w:ascii="Verdana" w:hAnsi="Verdana"/>
                <w:sz w:val="20"/>
                <w:szCs w:val="20"/>
                <w:lang w:bidi="ar"/>
              </w:rPr>
              <w:t>Subsidios y subvenciones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9500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900" w:type="dxa"/>
            </w:tcMar>
            <w:vAlign w:val="center"/>
          </w:tcPr>
          <w:p>
            <w:pPr>
              <w:pStyle w:val="85"/>
              <w:jc w:val="both"/>
              <w:rPr>
                <w:rFonts w:ascii="Verdana" w:hAnsi="Verdana"/>
                <w:sz w:val="20"/>
                <w:szCs w:val="20"/>
                <w:lang w:bidi="ar"/>
              </w:rPr>
            </w:pPr>
            <w:r>
              <w:rPr>
                <w:rFonts w:ascii="Verdana" w:hAnsi="Verdana"/>
                <w:sz w:val="20"/>
                <w:szCs w:val="20"/>
                <w:lang w:bidi="ar"/>
              </w:rPr>
              <w:t>9501</w:t>
            </w:r>
          </w:p>
        </w:tc>
        <w:tc>
          <w:tcPr>
            <w:tcW w:w="0" w:type="auto"/>
            <w:tcBorders>
              <w:top w:val="single" w:color="000000" w:sz="6" w:space="0"/>
              <w:left w:val="nil"/>
              <w:bottom w:val="single" w:color="000000" w:sz="6" w:space="0"/>
              <w:right w:val="single" w:color="000000" w:sz="6" w:space="0"/>
            </w:tcBorders>
            <w:tcMar>
              <w:left w:w="900" w:type="dxa"/>
            </w:tcMar>
            <w:vAlign w:val="center"/>
          </w:tcPr>
          <w:p>
            <w:pPr>
              <w:pStyle w:val="85"/>
              <w:ind w:left="-574"/>
              <w:jc w:val="both"/>
              <w:rPr>
                <w:rFonts w:ascii="Verdana" w:hAnsi="Verdana"/>
                <w:sz w:val="20"/>
                <w:szCs w:val="20"/>
                <w:lang w:bidi="ar"/>
              </w:rPr>
            </w:pPr>
            <w:r>
              <w:rPr>
                <w:rFonts w:ascii="Verdana" w:hAnsi="Verdana"/>
                <w:sz w:val="20"/>
                <w:szCs w:val="20"/>
                <w:lang w:bidi="ar"/>
              </w:rPr>
              <w:t>Pensiones y jubilaciones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tcMar>
              <w:left w:w="300" w:type="dxa"/>
            </w:tcMar>
            <w:vAlign w:val="center"/>
          </w:tcPr>
          <w:p>
            <w:pPr>
              <w:pStyle w:val="85"/>
              <w:jc w:val="center"/>
              <w:rPr>
                <w:rFonts w:ascii="Verdana" w:hAnsi="Verdana"/>
                <w:sz w:val="20"/>
                <w:szCs w:val="20"/>
                <w:lang w:bidi="ar"/>
              </w:rPr>
            </w:pPr>
            <w:r>
              <w:rPr>
                <w:rFonts w:ascii="Verdana" w:hAnsi="Verdana"/>
                <w:sz w:val="20"/>
                <w:szCs w:val="20"/>
                <w:lang w:bidi="ar"/>
              </w:rPr>
              <w:t>9700</w:t>
            </w:r>
          </w:p>
        </w:tc>
        <w:tc>
          <w:tcPr>
            <w:tcW w:w="0" w:type="auto"/>
            <w:tcBorders>
              <w:top w:val="single" w:color="000000" w:sz="6" w:space="0"/>
              <w:left w:val="nil"/>
              <w:bottom w:val="single" w:color="000000" w:sz="6" w:space="0"/>
              <w:right w:val="single" w:color="000000" w:sz="6" w:space="0"/>
            </w:tcBorders>
            <w:tcMar>
              <w:left w:w="300" w:type="dxa"/>
            </w:tcMar>
            <w:vAlign w:val="center"/>
          </w:tcPr>
          <w:p>
            <w:pPr>
              <w:pStyle w:val="85"/>
              <w:jc w:val="both"/>
              <w:rPr>
                <w:rFonts w:ascii="Verdana" w:hAnsi="Verdana"/>
                <w:sz w:val="20"/>
                <w:szCs w:val="20"/>
                <w:lang w:val="es-MX" w:bidi="ar"/>
              </w:rPr>
            </w:pPr>
            <w:r>
              <w:rPr>
                <w:rFonts w:ascii="Verdana" w:hAnsi="Verdana"/>
                <w:sz w:val="20"/>
                <w:szCs w:val="20"/>
                <w:lang w:val="es-MX" w:bidi="ar"/>
              </w:rPr>
              <w:t>Transferencias del fondo mexicano del petróleo para la estabilización y el desarrollo</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val="es-MX" w:bidi="ar"/>
              </w:rPr>
            </w:pPr>
          </w:p>
          <w:p>
            <w:pPr>
              <w:pStyle w:val="85"/>
              <w:jc w:val="right"/>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ind w:left="206"/>
              <w:jc w:val="both"/>
              <w:rPr>
                <w:rFonts w:ascii="Verdana" w:hAnsi="Verdana"/>
                <w:sz w:val="20"/>
                <w:szCs w:val="20"/>
                <w:lang w:bidi="ar"/>
              </w:rPr>
            </w:pPr>
            <w:r>
              <w:rPr>
                <w:rFonts w:ascii="Verdana" w:hAnsi="Verdana"/>
                <w:sz w:val="20"/>
                <w:szCs w:val="20"/>
                <w:lang w:bidi="ar"/>
              </w:rPr>
              <w:t>Ingresos derivados de financiamientos</w:t>
            </w:r>
          </w:p>
        </w:tc>
        <w:tc>
          <w:tcPr>
            <w:tcW w:w="0" w:type="auto"/>
            <w:tcBorders>
              <w:top w:val="single" w:color="000000" w:sz="6" w:space="0"/>
              <w:left w:val="nil"/>
              <w:bottom w:val="single" w:color="000000" w:sz="6" w:space="0"/>
              <w:right w:val="single" w:color="000000" w:sz="6" w:space="0"/>
            </w:tcBorders>
            <w:vAlign w:val="center"/>
          </w:tcPr>
          <w:p>
            <w:pPr>
              <w:pStyle w:val="85"/>
              <w:jc w:val="right"/>
              <w:rPr>
                <w:rFonts w:ascii="Verdana" w:hAnsi="Verdana"/>
                <w:sz w:val="20"/>
                <w:szCs w:val="20"/>
                <w:lang w:bidi="ar"/>
              </w:rPr>
            </w:pPr>
            <w:r>
              <w:rPr>
                <w:rFonts w:ascii="Verdana" w:hAnsi="Verdana"/>
                <w:sz w:val="20"/>
                <w:szCs w:val="20"/>
                <w:lang w:bidi="ar"/>
              </w:rPr>
              <w:t>$0.00</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bCs/>
          <w:sz w:val="20"/>
          <w:szCs w:val="20"/>
          <w:lang w:val="es-MX"/>
        </w:rPr>
      </w:pPr>
      <w:bookmarkStart w:id="0" w:name="_Hlk56724041"/>
      <w:r>
        <w:rPr>
          <w:rFonts w:ascii="Verdana" w:hAnsi="Verdana"/>
          <w:bCs/>
          <w:sz w:val="20"/>
          <w:szCs w:val="20"/>
          <w:lang w:val="es-MX"/>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bookmarkEnd w:id="0"/>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2</w:t>
      </w:r>
      <w:r>
        <w:rPr>
          <w:rFonts w:ascii="Verdana" w:hAnsi="Verdana"/>
          <w:sz w:val="20"/>
          <w:szCs w:val="20"/>
          <w:lang w:val="es-MX"/>
        </w:rPr>
        <w:t>.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las que se fundamenten.</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Las cuotas establecidas en esta Ley por concepto de derechos, deberán corresponder a la prestación efectiva de un servicio público o en cumplimiento de una función pública concedida por alguna norma jurídica previa; debiendo guardar relación con el costo que para el Ayuntamiento tenga la ejecución del mismo y serán fijas e iguales para todos los contribuyentes que reciban servicios análogos.</w:t>
      </w:r>
    </w:p>
    <w:p>
      <w:pPr>
        <w:pStyle w:val="85"/>
        <w:jc w:val="both"/>
        <w:rPr>
          <w:rFonts w:ascii="Verdana" w:hAnsi="Verdana"/>
          <w:sz w:val="20"/>
          <w:szCs w:val="20"/>
          <w:lang w:val="es-MX"/>
        </w:rPr>
      </w:pPr>
    </w:p>
    <w:p>
      <w:pPr>
        <w:pStyle w:val="85"/>
        <w:jc w:val="both"/>
        <w:rPr>
          <w:rFonts w:ascii="Verdana" w:hAnsi="Verdana"/>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CAPÍTULO SEGUNDO</w:t>
      </w:r>
      <w:r>
        <w:rPr>
          <w:rFonts w:ascii="Verdana" w:hAnsi="Verdana"/>
          <w:b/>
          <w:bCs/>
          <w:sz w:val="20"/>
          <w:szCs w:val="20"/>
          <w:lang w:val="es-MX"/>
        </w:rPr>
        <w:br w:type="textWrapping"/>
      </w:r>
      <w:r>
        <w:rPr>
          <w:rFonts w:ascii="Verdana" w:hAnsi="Verdana"/>
          <w:b/>
          <w:bCs/>
          <w:sz w:val="20"/>
          <w:szCs w:val="20"/>
          <w:lang w:val="es-MX"/>
        </w:rPr>
        <w:t>CONCEPTOS DE INGRESOS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w:t>
      </w:r>
      <w:r>
        <w:rPr>
          <w:rFonts w:ascii="Verdana" w:hAnsi="Verdana"/>
          <w:sz w:val="20"/>
          <w:szCs w:val="20"/>
          <w:lang w:val="es-MX"/>
        </w:rPr>
        <w:t>. La hacienda pública del municipio de Moroleón, Guanajuato, percibirá los ingresos ordinarios y extraordinarios, de conformidad con lo dispuesto por esta Ley y la Ley de Hacienda para los Municipios del Estado de Guanajuato.</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CAPÍTULO TERCERO</w:t>
      </w:r>
      <w:r>
        <w:rPr>
          <w:rFonts w:ascii="Verdana" w:hAnsi="Verdana"/>
          <w:b/>
          <w:bCs/>
          <w:sz w:val="20"/>
          <w:szCs w:val="20"/>
          <w:lang w:val="es-MX"/>
        </w:rPr>
        <w:br w:type="textWrapping"/>
      </w:r>
      <w:r>
        <w:rPr>
          <w:rFonts w:ascii="Verdana" w:hAnsi="Verdana"/>
          <w:b/>
          <w:bCs/>
          <w:sz w:val="20"/>
          <w:szCs w:val="20"/>
          <w:lang w:val="es-MX"/>
        </w:rPr>
        <w:t>IMPUESTOS</w:t>
      </w:r>
    </w:p>
    <w:p>
      <w:pPr>
        <w:pStyle w:val="85"/>
        <w:jc w:val="center"/>
        <w:rPr>
          <w:rFonts w:ascii="Verdana" w:hAnsi="Verdana"/>
          <w:b/>
          <w:bCs/>
          <w:sz w:val="20"/>
          <w:szCs w:val="20"/>
          <w:lang w:val="es-MX"/>
        </w:rPr>
      </w:pPr>
    </w:p>
    <w:p>
      <w:pPr>
        <w:pStyle w:val="85"/>
        <w:jc w:val="center"/>
        <w:rPr>
          <w:rFonts w:ascii="Verdana" w:hAnsi="Verdana"/>
          <w:b/>
          <w:bCs/>
          <w:sz w:val="20"/>
          <w:szCs w:val="20"/>
          <w:lang w:val="es-MX"/>
        </w:rPr>
      </w:pPr>
      <w:r>
        <w:rPr>
          <w:rStyle w:val="223"/>
          <w:rFonts w:ascii="Verdana" w:hAnsi="Verdana" w:cs="Arial"/>
          <w:bCs/>
          <w:sz w:val="20"/>
          <w:szCs w:val="20"/>
          <w:lang w:val="es-MX"/>
        </w:rPr>
        <w:t>SECCIÓN PRIMERA</w:t>
      </w:r>
      <w:r>
        <w:rPr>
          <w:rStyle w:val="223"/>
          <w:rFonts w:ascii="Verdana" w:hAnsi="Verdana" w:cs="Arial"/>
          <w:bCs/>
          <w:sz w:val="20"/>
          <w:szCs w:val="20"/>
          <w:lang w:val="es-MX"/>
        </w:rPr>
        <w:br w:type="textWrapping"/>
      </w:r>
      <w:r>
        <w:rPr>
          <w:rStyle w:val="223"/>
          <w:rFonts w:ascii="Verdana" w:hAnsi="Verdana" w:cs="Arial"/>
          <w:bCs/>
          <w:sz w:val="20"/>
          <w:szCs w:val="20"/>
          <w:lang w:val="es-MX"/>
        </w:rPr>
        <w:t>IMPUESTO PREDIAL</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w:t>
      </w:r>
      <w:r>
        <w:rPr>
          <w:rStyle w:val="223"/>
          <w:rFonts w:ascii="Verdana" w:hAnsi="Verdana"/>
          <w:sz w:val="20"/>
          <w:szCs w:val="20"/>
          <w:lang w:val="es-MX"/>
        </w:rPr>
        <w:t xml:space="preserve"> 4</w:t>
      </w:r>
      <w:r>
        <w:rPr>
          <w:rFonts w:ascii="Verdana" w:hAnsi="Verdana"/>
          <w:sz w:val="20"/>
          <w:szCs w:val="20"/>
          <w:lang w:val="es-MX"/>
        </w:rPr>
        <w:t>. El impuesto predial se causará y liquidará anualmente, conforme a lo siguiente:</w:t>
      </w:r>
    </w:p>
    <w:p>
      <w:pPr>
        <w:pStyle w:val="85"/>
        <w:jc w:val="both"/>
        <w:rPr>
          <w:rFonts w:ascii="Verdana" w:hAnsi="Verdana"/>
          <w:sz w:val="20"/>
          <w:szCs w:val="20"/>
          <w:lang w:val="es-MX"/>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Se determinará una cuota fija de impuesto, tomando como base el valor fiscal del inmueble ubicándolo entre el límite inferior y el límite superior de la tabla que le corresponda.</w:t>
      </w:r>
    </w:p>
    <w:p>
      <w:pPr>
        <w:pStyle w:val="85"/>
        <w:jc w:val="both"/>
        <w:rPr>
          <w:rFonts w:ascii="Verdana" w:hAnsi="Verdana"/>
          <w:sz w:val="20"/>
          <w:szCs w:val="20"/>
          <w:shd w:val="clear" w:color="auto" w:fill="FFFFFF"/>
          <w:lang w:val="es-MX"/>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Se determinará un impuesto marginal, restando al valor fiscal del inmueble el límite inferior y el resultado se multiplicará por la tasa marginal que le corresponda, por la ubicación del inmueble conforme a la fracción anterior.</w:t>
      </w:r>
    </w:p>
    <w:p>
      <w:pPr>
        <w:pStyle w:val="85"/>
        <w:jc w:val="both"/>
        <w:rPr>
          <w:rFonts w:ascii="Verdana" w:hAnsi="Verdana"/>
          <w:sz w:val="20"/>
          <w:szCs w:val="20"/>
          <w:shd w:val="clear" w:color="auto" w:fill="FFFFFF"/>
          <w:lang w:val="es-MX"/>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El impuesto predial será el resultado de la suma de la cuota fija más el impuesto marginal determinados de acuerdo con las fracciones I y II del presente artículo.</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S A S</w:t>
      </w:r>
    </w:p>
    <w:p>
      <w:pPr>
        <w:pStyle w:val="85"/>
        <w:jc w:val="both"/>
        <w:rPr>
          <w:rFonts w:ascii="Verdana" w:hAnsi="Verdana"/>
          <w:b/>
          <w:bCs/>
          <w:sz w:val="20"/>
          <w:szCs w:val="20"/>
        </w:rPr>
      </w:pPr>
      <w:r>
        <w:rPr>
          <w:rFonts w:ascii="Verdana" w:hAnsi="Verdana"/>
          <w:b/>
          <w:bCs/>
          <w:sz w:val="20"/>
          <w:szCs w:val="20"/>
        </w:rPr>
        <w:t xml:space="preserve"> </w:t>
      </w: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Inmuebles urbanos y suburbanos con edificaciones con valores determinados o modificados durante el año 2002 y hasta el 2021 inclusive:</w:t>
      </w:r>
    </w:p>
    <w:p>
      <w:pPr>
        <w:pStyle w:val="85"/>
        <w:jc w:val="both"/>
        <w:rPr>
          <w:rFonts w:ascii="Verdana" w:hAnsi="Verdana"/>
          <w:sz w:val="20"/>
          <w:szCs w:val="20"/>
          <w:shd w:val="clear" w:color="auto" w:fill="FFFFFF"/>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841"/>
        <w:gridCol w:w="1947"/>
        <w:gridCol w:w="1828"/>
        <w:gridCol w:w="196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gridSpan w:val="2"/>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Valor fiscal del inmueble</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Tasa marginal</w:t>
            </w:r>
          </w:p>
        </w:tc>
        <w:tc>
          <w:tcPr>
            <w:tcW w:w="1967" w:type="dxa"/>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Cuota fija</w:t>
            </w:r>
            <w:r>
              <w:rPr>
                <w:rFonts w:ascii="Verdana" w:hAnsi="Verdana"/>
                <w:b/>
                <w:bCs/>
                <w:sz w:val="20"/>
                <w:szCs w:val="20"/>
                <w:lang w:bidi="ar"/>
              </w:rPr>
              <w:br w:type="textWrapping"/>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inferior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superior</w:t>
            </w: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c>
          <w:tcPr>
            <w:tcW w:w="1967" w:type="dxa"/>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$139,981.64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0.00240</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$139,981.65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0.00255</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0.00270</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$692.90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0.00285</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$1,502.90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0.00300</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$3,212.90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En Adelante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0.00315</w:t>
            </w:r>
          </w:p>
        </w:tc>
        <w:tc>
          <w:tcPr>
            <w:tcW w:w="196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$6,812.90</w:t>
            </w:r>
          </w:p>
        </w:tc>
      </w:tr>
    </w:tbl>
    <w:p>
      <w:pPr>
        <w:pStyle w:val="85"/>
        <w:jc w:val="both"/>
        <w:rPr>
          <w:rFonts w:ascii="Verdana" w:hAnsi="Verdana"/>
          <w:sz w:val="20"/>
          <w:szCs w:val="20"/>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Inmuebles urbanos y suburbanos sin edificaciones con valores determinados o modificados durante el año 2002 y hasta el 2021 inclusive:</w:t>
      </w:r>
    </w:p>
    <w:p>
      <w:pPr>
        <w:pStyle w:val="85"/>
        <w:jc w:val="both"/>
        <w:rPr>
          <w:rFonts w:ascii="Verdana" w:hAnsi="Verdana"/>
          <w:sz w:val="20"/>
          <w:szCs w:val="20"/>
          <w:shd w:val="clear" w:color="auto" w:fill="FFFFFF"/>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841"/>
        <w:gridCol w:w="1947"/>
        <w:gridCol w:w="1828"/>
        <w:gridCol w:w="229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gridSpan w:val="2"/>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Valor fiscal del inmueble</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Tasa marginal</w:t>
            </w:r>
          </w:p>
        </w:tc>
        <w:tc>
          <w:tcPr>
            <w:tcW w:w="2299" w:type="dxa"/>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p>
            <w:pPr>
              <w:pStyle w:val="85"/>
              <w:jc w:val="center"/>
              <w:rPr>
                <w:rFonts w:ascii="Verdana" w:hAnsi="Verdana"/>
                <w:b/>
                <w:bCs/>
                <w:sz w:val="20"/>
                <w:szCs w:val="20"/>
                <w:lang w:bidi="ar"/>
              </w:rPr>
            </w:pPr>
            <w:r>
              <w:rPr>
                <w:rFonts w:ascii="Verdana" w:hAnsi="Verdana"/>
                <w:b/>
                <w:bCs/>
                <w:sz w:val="20"/>
                <w:szCs w:val="20"/>
                <w:lang w:bidi="ar"/>
              </w:rPr>
              <w:t>Cuota Fija</w:t>
            </w:r>
            <w:r>
              <w:rPr>
                <w:rFonts w:ascii="Verdana" w:hAnsi="Verdana"/>
                <w:b/>
                <w:bCs/>
                <w:sz w:val="20"/>
                <w:szCs w:val="20"/>
                <w:lang w:bidi="ar"/>
              </w:rPr>
              <w:br w:type="textWrapping"/>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inferior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superior</w:t>
            </w: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c>
          <w:tcPr>
            <w:tcW w:w="2299" w:type="dxa"/>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$74,656.00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0.00450</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$74,656.01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0.00465</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0.00480</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$683.10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0.00495</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$1,403.10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0.00510</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$2,888.10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En Adelante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0.00525</w:t>
            </w:r>
          </w:p>
        </w:tc>
        <w:tc>
          <w:tcPr>
            <w:tcW w:w="22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$5,948.10</w:t>
            </w:r>
          </w:p>
        </w:tc>
      </w:tr>
    </w:tbl>
    <w:p>
      <w:pPr>
        <w:pStyle w:val="85"/>
        <w:jc w:val="both"/>
        <w:rPr>
          <w:rFonts w:ascii="Verdana" w:hAnsi="Verdana"/>
          <w:sz w:val="20"/>
          <w:szCs w:val="20"/>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c) Inmuebles rústicos con valores determinados o modificados durante el año 2002 y hasta el 2021 inclusive:</w:t>
      </w:r>
    </w:p>
    <w:p>
      <w:pPr>
        <w:pStyle w:val="85"/>
        <w:jc w:val="both"/>
        <w:rPr>
          <w:rFonts w:ascii="Verdana" w:hAnsi="Verdana"/>
          <w:sz w:val="20"/>
          <w:szCs w:val="20"/>
          <w:shd w:val="clear" w:color="auto" w:fill="FFFFFF"/>
          <w:lang w:val="es-MX"/>
        </w:rPr>
      </w:pPr>
    </w:p>
    <w:tbl>
      <w:tblPr>
        <w:tblStyle w:val="12"/>
        <w:tblW w:w="0" w:type="auto"/>
        <w:tblInd w:w="262"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093"/>
        <w:gridCol w:w="1970"/>
        <w:gridCol w:w="1806"/>
        <w:gridCol w:w="13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5063" w:type="dxa"/>
            <w:gridSpan w:val="2"/>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Valor Fiscal del Inmueble</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Tasa Marginal</w:t>
            </w:r>
          </w:p>
        </w:tc>
        <w:tc>
          <w:tcPr>
            <w:tcW w:w="0" w:type="auto"/>
            <w:vMerge w:val="restart"/>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Cuota fija</w:t>
            </w:r>
            <w:r>
              <w:rPr>
                <w:rFonts w:ascii="Verdana" w:hAnsi="Verdana"/>
                <w:b/>
                <w:bCs/>
                <w:sz w:val="20"/>
                <w:szCs w:val="20"/>
                <w:lang w:bidi="ar"/>
              </w:rPr>
              <w:br w:type="textWrapping"/>
            </w:r>
            <w:r>
              <w:rPr>
                <w:rFonts w:ascii="Verdana" w:hAnsi="Verdana"/>
                <w:b/>
                <w:bCs/>
                <w:sz w:val="20"/>
                <w:szCs w:val="20"/>
                <w:lang w:bidi="ar"/>
              </w:rPr>
              <w:t>en pesos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Inferior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Límite Superior</w:t>
            </w: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c>
          <w:tcPr>
            <w:tcW w:w="0" w:type="auto"/>
            <w:vMerge w:val="continue"/>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$186,640.00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0.00180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$186,640.01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0.00195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$459.50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0.00225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$984.50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$2’000,000.00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$2,109.50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309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$2’000,000.01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En Adelante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0.00255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$4,509.50</w:t>
            </w:r>
          </w:p>
        </w:tc>
      </w:tr>
    </w:tbl>
    <w:p>
      <w:pPr>
        <w:pStyle w:val="85"/>
        <w:jc w:val="both"/>
        <w:rPr>
          <w:rFonts w:ascii="Verdana" w:hAnsi="Verdana"/>
          <w:sz w:val="20"/>
          <w:szCs w:val="20"/>
        </w:rPr>
      </w:pPr>
    </w:p>
    <w:p>
      <w:pPr>
        <w:pStyle w:val="85"/>
        <w:jc w:val="both"/>
        <w:rPr>
          <w:rFonts w:ascii="Verdana" w:hAnsi="Verdana"/>
          <w:sz w:val="20"/>
          <w:szCs w:val="20"/>
          <w:shd w:val="clear" w:color="auto" w:fill="FFFFFF"/>
          <w:lang w:val="es-MX"/>
        </w:rPr>
      </w:pPr>
      <w:r>
        <w:rPr>
          <w:rFonts w:ascii="Verdana" w:hAnsi="Verdana"/>
          <w:sz w:val="20"/>
          <w:szCs w:val="20"/>
          <w:shd w:val="clear" w:color="auto" w:fill="FFFFFF"/>
          <w:lang w:val="es-MX"/>
        </w:rPr>
        <w:t xml:space="preserve"> </w:t>
      </w:r>
      <w:r>
        <w:rPr>
          <w:rFonts w:ascii="Verdana" w:hAnsi="Verdana"/>
          <w:sz w:val="20"/>
          <w:szCs w:val="20"/>
          <w:shd w:val="clear" w:color="auto" w:fill="FFFFFF"/>
          <w:lang w:val="es-MX"/>
        </w:rPr>
        <w:tab/>
      </w:r>
      <w:r>
        <w:rPr>
          <w:rFonts w:ascii="Verdana" w:hAnsi="Verdana"/>
          <w:sz w:val="20"/>
          <w:szCs w:val="20"/>
          <w:shd w:val="clear" w:color="auto" w:fill="FFFFFF"/>
          <w:lang w:val="es-MX"/>
        </w:rPr>
        <w:t>El impuesto predial en los supuestos previstos en esta fracción se causará y liquidará anualmente conforme a las siguientes:</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S A S</w:t>
      </w:r>
    </w:p>
    <w:p>
      <w:pPr>
        <w:pStyle w:val="85"/>
        <w:jc w:val="both"/>
        <w:rPr>
          <w:rFonts w:ascii="Verdana" w:hAnsi="Verdana"/>
          <w:sz w:val="20"/>
          <w:szCs w:val="20"/>
        </w:rPr>
      </w:pPr>
    </w:p>
    <w:tbl>
      <w:tblPr>
        <w:tblStyle w:val="12"/>
        <w:tblW w:w="496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70" w:type="dxa"/>
          <w:bottom w:w="0" w:type="dxa"/>
          <w:right w:w="70" w:type="dxa"/>
        </w:tblCellMar>
      </w:tblPr>
      <w:tblGrid>
        <w:gridCol w:w="3431"/>
        <w:gridCol w:w="2192"/>
        <w:gridCol w:w="2192"/>
        <w:gridCol w:w="16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83" w:hRule="atLeast"/>
          <w:jc w:val="center"/>
        </w:trPr>
        <w:tc>
          <w:tcPr>
            <w:tcW w:w="1811" w:type="pct"/>
            <w:vMerge w:val="restart"/>
          </w:tcPr>
          <w:p>
            <w:pPr>
              <w:pStyle w:val="85"/>
              <w:jc w:val="center"/>
              <w:rPr>
                <w:rFonts w:ascii="Verdana" w:hAnsi="Verdana"/>
                <w:b/>
                <w:sz w:val="20"/>
                <w:szCs w:val="20"/>
                <w:lang w:val="es-MX"/>
              </w:rPr>
            </w:pPr>
            <w:r>
              <w:rPr>
                <w:rFonts w:ascii="Verdana" w:hAnsi="Verdana"/>
                <w:b/>
                <w:sz w:val="20"/>
                <w:szCs w:val="20"/>
                <w:lang w:val="es-MX"/>
              </w:rPr>
              <w:t>Los inmuebles que cuenten con un valor determinado o modificado:</w:t>
            </w:r>
          </w:p>
        </w:tc>
        <w:tc>
          <w:tcPr>
            <w:tcW w:w="2314" w:type="pct"/>
            <w:gridSpan w:val="2"/>
            <w:vAlign w:val="center"/>
          </w:tcPr>
          <w:p>
            <w:pPr>
              <w:pStyle w:val="85"/>
              <w:jc w:val="center"/>
              <w:rPr>
                <w:rFonts w:ascii="Verdana" w:hAnsi="Verdana"/>
                <w:b/>
                <w:sz w:val="20"/>
                <w:szCs w:val="20"/>
              </w:rPr>
            </w:pPr>
            <w:r>
              <w:rPr>
                <w:rFonts w:ascii="Verdana" w:hAnsi="Verdana"/>
                <w:b/>
                <w:sz w:val="20"/>
                <w:szCs w:val="20"/>
              </w:rPr>
              <w:t>Inmuebles Urbanos y Suburbanos</w:t>
            </w:r>
          </w:p>
        </w:tc>
        <w:tc>
          <w:tcPr>
            <w:tcW w:w="875" w:type="pct"/>
            <w:vMerge w:val="restart"/>
            <w:vAlign w:val="center"/>
          </w:tcPr>
          <w:p>
            <w:pPr>
              <w:pStyle w:val="85"/>
              <w:jc w:val="both"/>
              <w:rPr>
                <w:rFonts w:ascii="Verdana" w:hAnsi="Verdana"/>
                <w:bCs/>
                <w:sz w:val="20"/>
                <w:szCs w:val="20"/>
              </w:rPr>
            </w:pPr>
            <w:r>
              <w:rPr>
                <w:rFonts w:ascii="Verdana" w:hAnsi="Verdana"/>
                <w:bCs/>
                <w:sz w:val="20"/>
                <w:szCs w:val="20"/>
              </w:rPr>
              <w:t xml:space="preserve">Inmuebles </w:t>
            </w:r>
          </w:p>
          <w:p>
            <w:pPr>
              <w:pStyle w:val="85"/>
              <w:jc w:val="both"/>
              <w:rPr>
                <w:rFonts w:ascii="Verdana" w:hAnsi="Verdana"/>
                <w:sz w:val="20"/>
                <w:szCs w:val="20"/>
              </w:rPr>
            </w:pPr>
            <w:r>
              <w:rPr>
                <w:rFonts w:ascii="Verdana" w:hAnsi="Verdana"/>
                <w:bCs/>
                <w:sz w:val="20"/>
                <w:szCs w:val="20"/>
              </w:rPr>
              <w:t>Rústicos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9" w:hRule="atLeast"/>
          <w:jc w:val="center"/>
        </w:trPr>
        <w:tc>
          <w:tcPr>
            <w:tcW w:w="1811" w:type="pct"/>
            <w:vMerge w:val="continue"/>
          </w:tcPr>
          <w:p>
            <w:pPr>
              <w:pStyle w:val="85"/>
              <w:jc w:val="both"/>
              <w:rPr>
                <w:rFonts w:ascii="Verdana" w:hAnsi="Verdana"/>
                <w:sz w:val="20"/>
                <w:szCs w:val="20"/>
              </w:rPr>
            </w:pPr>
          </w:p>
        </w:tc>
        <w:tc>
          <w:tcPr>
            <w:tcW w:w="1157" w:type="pct"/>
            <w:vAlign w:val="center"/>
          </w:tcPr>
          <w:p>
            <w:pPr>
              <w:pStyle w:val="85"/>
              <w:jc w:val="both"/>
              <w:rPr>
                <w:rFonts w:ascii="Verdana" w:hAnsi="Verdana"/>
                <w:bCs/>
                <w:sz w:val="20"/>
                <w:szCs w:val="20"/>
              </w:rPr>
            </w:pPr>
            <w:r>
              <w:rPr>
                <w:rFonts w:ascii="Verdana" w:hAnsi="Verdana"/>
                <w:bCs/>
                <w:sz w:val="20"/>
                <w:szCs w:val="20"/>
              </w:rPr>
              <w:t>Con</w:t>
            </w:r>
          </w:p>
          <w:p>
            <w:pPr>
              <w:pStyle w:val="85"/>
              <w:jc w:val="both"/>
              <w:rPr>
                <w:rFonts w:ascii="Verdana" w:hAnsi="Verdana"/>
                <w:bCs/>
                <w:sz w:val="20"/>
                <w:szCs w:val="20"/>
              </w:rPr>
            </w:pPr>
            <w:r>
              <w:rPr>
                <w:rFonts w:ascii="Verdana" w:hAnsi="Verdana"/>
                <w:bCs/>
                <w:sz w:val="20"/>
                <w:szCs w:val="20"/>
              </w:rPr>
              <w:t>edificaciones</w:t>
            </w:r>
          </w:p>
        </w:tc>
        <w:tc>
          <w:tcPr>
            <w:tcW w:w="1157" w:type="pct"/>
            <w:vAlign w:val="center"/>
          </w:tcPr>
          <w:p>
            <w:pPr>
              <w:pStyle w:val="85"/>
              <w:jc w:val="both"/>
              <w:rPr>
                <w:rFonts w:ascii="Verdana" w:hAnsi="Verdana"/>
                <w:bCs/>
                <w:sz w:val="20"/>
                <w:szCs w:val="20"/>
              </w:rPr>
            </w:pPr>
            <w:r>
              <w:rPr>
                <w:rFonts w:ascii="Verdana" w:hAnsi="Verdana"/>
                <w:bCs/>
                <w:sz w:val="20"/>
                <w:szCs w:val="20"/>
              </w:rPr>
              <w:t>Sin</w:t>
            </w:r>
          </w:p>
          <w:p>
            <w:pPr>
              <w:pStyle w:val="85"/>
              <w:jc w:val="both"/>
              <w:rPr>
                <w:rFonts w:ascii="Verdana" w:hAnsi="Verdana"/>
                <w:bCs/>
                <w:sz w:val="20"/>
                <w:szCs w:val="20"/>
              </w:rPr>
            </w:pPr>
            <w:r>
              <w:rPr>
                <w:rFonts w:ascii="Verdana" w:hAnsi="Verdana"/>
                <w:bCs/>
                <w:sz w:val="20"/>
                <w:szCs w:val="20"/>
              </w:rPr>
              <w:t>edificaciones</w:t>
            </w:r>
          </w:p>
        </w:tc>
        <w:tc>
          <w:tcPr>
            <w:tcW w:w="875" w:type="pct"/>
            <w:vMerge w:val="continue"/>
          </w:tcPr>
          <w:p>
            <w:pPr>
              <w:pStyle w:val="85"/>
              <w:jc w:val="both"/>
              <w:rPr>
                <w:rFonts w:ascii="Verdana" w:hAnsi="Verdana"/>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19" w:hRule="atLeast"/>
          <w:jc w:val="center"/>
        </w:trPr>
        <w:tc>
          <w:tcPr>
            <w:tcW w:w="1811" w:type="pct"/>
          </w:tcPr>
          <w:p>
            <w:pPr>
              <w:pStyle w:val="85"/>
              <w:jc w:val="both"/>
              <w:rPr>
                <w:rFonts w:ascii="Verdana" w:hAnsi="Verdana"/>
                <w:sz w:val="20"/>
                <w:szCs w:val="20"/>
                <w:lang w:val="es-MX"/>
              </w:rPr>
            </w:pPr>
            <w:r>
              <w:rPr>
                <w:rFonts w:ascii="Verdana" w:hAnsi="Verdana"/>
                <w:sz w:val="20"/>
                <w:szCs w:val="20"/>
                <w:lang w:val="es-MX"/>
              </w:rPr>
              <w:t>Con anterioridad al año 2002 y hasta 1993 inclusive</w:t>
            </w:r>
          </w:p>
        </w:tc>
        <w:tc>
          <w:tcPr>
            <w:tcW w:w="1157" w:type="pct"/>
            <w:vAlign w:val="bottom"/>
          </w:tcPr>
          <w:p>
            <w:pPr>
              <w:pStyle w:val="85"/>
              <w:jc w:val="both"/>
              <w:rPr>
                <w:rFonts w:ascii="Verdana" w:hAnsi="Verdana"/>
                <w:sz w:val="20"/>
                <w:szCs w:val="20"/>
              </w:rPr>
            </w:pPr>
            <w:r>
              <w:rPr>
                <w:rFonts w:ascii="Verdana" w:hAnsi="Verdana"/>
                <w:sz w:val="20"/>
                <w:szCs w:val="20"/>
              </w:rPr>
              <w:t>8 al millar</w:t>
            </w:r>
          </w:p>
        </w:tc>
        <w:tc>
          <w:tcPr>
            <w:tcW w:w="1157" w:type="pct"/>
            <w:vAlign w:val="bottom"/>
          </w:tcPr>
          <w:p>
            <w:pPr>
              <w:pStyle w:val="85"/>
              <w:jc w:val="both"/>
              <w:rPr>
                <w:rFonts w:ascii="Verdana" w:hAnsi="Verdana"/>
                <w:sz w:val="20"/>
                <w:szCs w:val="20"/>
              </w:rPr>
            </w:pPr>
            <w:r>
              <w:rPr>
                <w:rFonts w:ascii="Verdana" w:hAnsi="Verdana"/>
                <w:sz w:val="20"/>
                <w:szCs w:val="20"/>
              </w:rPr>
              <w:t>15 al millar</w:t>
            </w:r>
          </w:p>
        </w:tc>
        <w:tc>
          <w:tcPr>
            <w:tcW w:w="875" w:type="pct"/>
            <w:vAlign w:val="bottom"/>
          </w:tcPr>
          <w:p>
            <w:pPr>
              <w:pStyle w:val="85"/>
              <w:jc w:val="both"/>
              <w:rPr>
                <w:rFonts w:ascii="Verdana" w:hAnsi="Verdana"/>
                <w:sz w:val="20"/>
                <w:szCs w:val="20"/>
              </w:rPr>
            </w:pPr>
            <w:r>
              <w:rPr>
                <w:rFonts w:ascii="Verdana" w:hAnsi="Verdana"/>
                <w:sz w:val="20"/>
                <w:szCs w:val="20"/>
              </w:rPr>
              <w:t>6 al millar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419" w:hRule="atLeast"/>
          <w:jc w:val="center"/>
        </w:trPr>
        <w:tc>
          <w:tcPr>
            <w:tcW w:w="1811" w:type="pct"/>
          </w:tcPr>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Con anterioridad a 1993</w:t>
            </w:r>
          </w:p>
        </w:tc>
        <w:tc>
          <w:tcPr>
            <w:tcW w:w="2314" w:type="pct"/>
            <w:gridSpan w:val="2"/>
            <w:vAlign w:val="bottom"/>
          </w:tcPr>
          <w:p>
            <w:pPr>
              <w:pStyle w:val="85"/>
              <w:jc w:val="both"/>
              <w:rPr>
                <w:rFonts w:ascii="Verdana" w:hAnsi="Verdana"/>
                <w:sz w:val="20"/>
                <w:szCs w:val="20"/>
              </w:rPr>
            </w:pPr>
            <w:r>
              <w:rPr>
                <w:rFonts w:ascii="Verdana" w:hAnsi="Verdana"/>
                <w:sz w:val="20"/>
                <w:szCs w:val="20"/>
              </w:rPr>
              <w:t>13 al millar</w:t>
            </w:r>
          </w:p>
        </w:tc>
        <w:tc>
          <w:tcPr>
            <w:tcW w:w="875" w:type="pct"/>
            <w:vAlign w:val="bottom"/>
          </w:tcPr>
          <w:p>
            <w:pPr>
              <w:pStyle w:val="85"/>
              <w:jc w:val="both"/>
              <w:rPr>
                <w:rFonts w:ascii="Verdana" w:hAnsi="Verdana"/>
                <w:sz w:val="20"/>
                <w:szCs w:val="20"/>
              </w:rPr>
            </w:pPr>
            <w:r>
              <w:rPr>
                <w:rFonts w:ascii="Verdana" w:hAnsi="Verdana"/>
                <w:sz w:val="20"/>
                <w:szCs w:val="20"/>
              </w:rPr>
              <w:t>12 al millar</w:t>
            </w:r>
          </w:p>
        </w:tc>
      </w:tr>
    </w:tbl>
    <w:p>
      <w:pPr>
        <w:pStyle w:val="85"/>
        <w:jc w:val="both"/>
        <w:rPr>
          <w:rStyle w:val="223"/>
          <w:rFonts w:ascii="Verdana" w:hAnsi="Verdana"/>
          <w:sz w:val="20"/>
          <w:szCs w:val="20"/>
          <w:lang w:val="es-MX"/>
        </w:rPr>
      </w:pPr>
    </w:p>
    <w:p>
      <w:pPr>
        <w:pStyle w:val="85"/>
        <w:jc w:val="both"/>
        <w:rPr>
          <w:rFonts w:ascii="Verdana" w:hAnsi="Verdana"/>
          <w:sz w:val="20"/>
          <w:szCs w:val="20"/>
          <w:lang w:val="es-MX"/>
        </w:rPr>
      </w:pPr>
      <w:r>
        <w:rPr>
          <w:rStyle w:val="223"/>
          <w:rFonts w:ascii="Verdana" w:hAnsi="Verdana"/>
          <w:sz w:val="20"/>
          <w:szCs w:val="20"/>
          <w:lang w:val="es-MX"/>
        </w:rPr>
        <w:t>Artículo 5</w:t>
      </w:r>
      <w:r>
        <w:rPr>
          <w:rFonts w:ascii="Verdana" w:hAnsi="Verdana"/>
          <w:sz w:val="20"/>
          <w:szCs w:val="20"/>
          <w:lang w:val="es-MX"/>
        </w:rPr>
        <w:t>. Los valores que se aplicarán a los inmuebles para el año 2021, serán los siguientes:</w:t>
      </w:r>
    </w:p>
    <w:p>
      <w:pPr>
        <w:pStyle w:val="85"/>
        <w:jc w:val="both"/>
        <w:rPr>
          <w:rFonts w:ascii="Verdana" w:hAnsi="Verdana"/>
          <w:sz w:val="20"/>
          <w:szCs w:val="20"/>
          <w:lang w:val="es-MX"/>
        </w:rPr>
      </w:pPr>
    </w:p>
    <w:p>
      <w:pPr>
        <w:pStyle w:val="85"/>
        <w:jc w:val="both"/>
        <w:rPr>
          <w:rFonts w:ascii="Verdana" w:hAnsi="Verdana"/>
          <w:b/>
          <w:bCs/>
          <w:sz w:val="20"/>
          <w:szCs w:val="20"/>
          <w:lang w:val="es-MX"/>
        </w:rPr>
      </w:pPr>
      <w:r>
        <w:rPr>
          <w:rFonts w:ascii="Verdana" w:hAnsi="Verdana"/>
          <w:b/>
          <w:bCs/>
          <w:sz w:val="20"/>
          <w:szCs w:val="20"/>
          <w:lang w:val="es-MX"/>
        </w:rPr>
        <w:t>I.            Tratándose de inmuebles urbanos y suburbanos.</w:t>
      </w:r>
    </w:p>
    <w:p>
      <w:pPr>
        <w:pStyle w:val="85"/>
        <w:jc w:val="both"/>
        <w:rPr>
          <w:rFonts w:ascii="Verdana" w:hAnsi="Verdana"/>
          <w:b/>
          <w:bCs/>
          <w:sz w:val="20"/>
          <w:szCs w:val="20"/>
          <w:lang w:val="es-MX"/>
        </w:rPr>
      </w:pPr>
    </w:p>
    <w:p>
      <w:pPr>
        <w:pStyle w:val="85"/>
        <w:jc w:val="both"/>
        <w:rPr>
          <w:rFonts w:ascii="Verdana" w:hAnsi="Verdana"/>
          <w:b/>
          <w:bCs/>
          <w:sz w:val="20"/>
          <w:szCs w:val="20"/>
          <w:lang w:val="es-MX"/>
        </w:rPr>
      </w:pPr>
      <w:r>
        <w:rPr>
          <w:rFonts w:ascii="Verdana" w:hAnsi="Verdana"/>
          <w:b/>
          <w:bCs/>
          <w:sz w:val="20"/>
          <w:szCs w:val="20"/>
          <w:lang w:val="es-MX"/>
        </w:rPr>
        <w:t xml:space="preserve">     a)</w:t>
      </w:r>
      <w:r>
        <w:rPr>
          <w:rFonts w:ascii="Verdana" w:hAnsi="Verdana"/>
          <w:b/>
          <w:bCs/>
          <w:sz w:val="20"/>
          <w:szCs w:val="20"/>
          <w:lang w:val="es-MX"/>
        </w:rPr>
        <w:tab/>
      </w:r>
      <w:r>
        <w:rPr>
          <w:rFonts w:ascii="Verdana" w:hAnsi="Verdana"/>
          <w:b/>
          <w:bCs/>
          <w:sz w:val="20"/>
          <w:szCs w:val="20"/>
          <w:lang w:val="es-MX"/>
        </w:rPr>
        <w:t>Valores unitarios de terreno por metro cuadrado:</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867"/>
        <w:gridCol w:w="1740"/>
        <w:gridCol w:w="179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Zona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Valor mínimo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Valor máximo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comercial superior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$9,280.51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$20,624.75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comercial de primera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$4,049.29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$8,524.84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comercial de segunda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$2,037.22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$3,048.80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habitacional centro medio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$1,326.57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$2,031.07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habitacional centro económico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$730.39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$1,149.96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habitacional residencial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$1,484.06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$2,629.96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habitacional media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$731.85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$1,181.06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Zona habitacional de interés social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$435.12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$739.16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habitacional económica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$344.28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$680.41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marginada irregular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$167.83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$240.87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Zona industrial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$122.40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$515.63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Valor mínimo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$120.71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bl>
    <w:p>
      <w:pPr>
        <w:pStyle w:val="85"/>
        <w:jc w:val="both"/>
        <w:rPr>
          <w:rFonts w:ascii="Verdana" w:hAnsi="Verdana"/>
          <w:sz w:val="20"/>
          <w:szCs w:val="20"/>
        </w:rPr>
      </w:pPr>
    </w:p>
    <w:p>
      <w:pPr>
        <w:pStyle w:val="85"/>
        <w:jc w:val="both"/>
        <w:rPr>
          <w:rFonts w:ascii="Verdana" w:hAnsi="Verdana"/>
          <w:sz w:val="20"/>
          <w:szCs w:val="20"/>
        </w:rPr>
      </w:pPr>
    </w:p>
    <w:p>
      <w:pPr>
        <w:pStyle w:val="85"/>
        <w:jc w:val="both"/>
        <w:rPr>
          <w:rFonts w:ascii="Verdana" w:hAnsi="Verdana"/>
          <w:b/>
          <w:bCs/>
          <w:sz w:val="20"/>
          <w:szCs w:val="20"/>
          <w:lang w:val="es-MX"/>
        </w:rPr>
      </w:pPr>
      <w:r>
        <w:rPr>
          <w:rFonts w:ascii="Verdana" w:hAnsi="Verdana"/>
          <w:b/>
          <w:bCs/>
          <w:sz w:val="20"/>
          <w:szCs w:val="20"/>
          <w:lang w:val="es-MX"/>
        </w:rPr>
        <w:t>Valores unitarios de construcción por metro cuadrado:</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846"/>
        <w:gridCol w:w="1314"/>
        <w:gridCol w:w="2885"/>
        <w:gridCol w:w="850"/>
        <w:gridCol w:w="12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Tipo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Calidad</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Estado de conservación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Clave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Valor</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$9,836.78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$8,292.18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$6,893.56</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$6,893.86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$5,911.14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$4,916.58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$4,364.52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$3,751.29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$3,072.26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$3,198.15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$2,467.14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$1,781.84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$1,115.78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$857.81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Moderno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$494.16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$5,656.57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$4,558.96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$3,440.56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$3,819.74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$3,072.26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$2,282.74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$2,142.33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$1,721.26</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$1,411.03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$1,411.03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$1,115.78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Antiguo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$988.34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$6,147.65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$5,293.96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$4,364.80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$4,121.22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$3,134.43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$2,467.14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$2,843.84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$2,282.74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$1,781.83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$1,721.26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$1,410.45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Corriente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$1,168.30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$986.79</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$739.16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$494.16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$4,917.96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$3,827.30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$3,072.26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$3,440.56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$2,887.34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$2,215.55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$2,282.74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$1,851.97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Alberca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Económica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$1,605.29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$3,072.26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$2,635.15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$2,039.98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$2,282.74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$1,851.97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Cancha de tenis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$1,410.45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$3,564.89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$3,134.43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Superior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$2,635.15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Bueno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$2,588.53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Regular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$2,215.55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Frontón</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$1,721.26</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both"/>
        <w:rPr>
          <w:rFonts w:ascii="Verdana" w:hAnsi="Verdana"/>
          <w:sz w:val="20"/>
          <w:szCs w:val="20"/>
        </w:rPr>
      </w:pPr>
    </w:p>
    <w:p>
      <w:pPr>
        <w:pStyle w:val="85"/>
        <w:jc w:val="both"/>
        <w:rPr>
          <w:rFonts w:ascii="Verdana" w:hAnsi="Verdana"/>
          <w:b/>
          <w:bCs/>
          <w:sz w:val="20"/>
          <w:szCs w:val="20"/>
          <w:lang w:val="es-MX"/>
        </w:rPr>
      </w:pPr>
      <w:r>
        <w:rPr>
          <w:rFonts w:ascii="Verdana" w:hAnsi="Verdana"/>
          <w:b/>
          <w:bCs/>
          <w:sz w:val="20"/>
          <w:szCs w:val="20"/>
          <w:lang w:val="es-MX"/>
        </w:rPr>
        <w:t>II.  Tratándose de inmuebles rústicos.</w:t>
      </w:r>
    </w:p>
    <w:p>
      <w:pPr>
        <w:pStyle w:val="85"/>
        <w:jc w:val="both"/>
        <w:rPr>
          <w:rFonts w:ascii="Verdana" w:hAnsi="Verdana"/>
          <w:b/>
          <w:bCs/>
          <w:sz w:val="20"/>
          <w:szCs w:val="20"/>
          <w:lang w:val="es-MX"/>
        </w:rPr>
      </w:pPr>
    </w:p>
    <w:p>
      <w:pPr>
        <w:pStyle w:val="85"/>
        <w:jc w:val="both"/>
        <w:rPr>
          <w:rFonts w:ascii="Verdana" w:hAnsi="Verdana"/>
          <w:b/>
          <w:bCs/>
          <w:sz w:val="20"/>
          <w:szCs w:val="20"/>
          <w:lang w:val="es-MX"/>
        </w:rPr>
      </w:pPr>
      <w:r>
        <w:rPr>
          <w:rFonts w:ascii="Verdana" w:hAnsi="Verdana"/>
          <w:b/>
          <w:bCs/>
          <w:sz w:val="20"/>
          <w:szCs w:val="20"/>
          <w:lang w:val="es-MX"/>
        </w:rPr>
        <w:t>a)   Tabla de valores base por hectárea: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032"/>
        <w:gridCol w:w="140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1.</w:t>
            </w:r>
            <w:r>
              <w:rPr>
                <w:rFonts w:ascii="Verdana" w:hAnsi="Verdana"/>
                <w:sz w:val="20"/>
                <w:szCs w:val="20"/>
                <w:lang w:bidi="ar"/>
              </w:rPr>
              <w:t xml:space="preserve"> Predios de riego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$20,568.81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2.</w:t>
            </w:r>
            <w:r>
              <w:rPr>
                <w:rFonts w:ascii="Verdana" w:hAnsi="Verdana"/>
                <w:sz w:val="20"/>
                <w:szCs w:val="20"/>
                <w:lang w:bidi="ar"/>
              </w:rPr>
              <w:t xml:space="preserve"> Predios de temporal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$7,839.58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3.</w:t>
            </w:r>
            <w:r>
              <w:rPr>
                <w:rFonts w:ascii="Verdana" w:hAnsi="Verdana"/>
                <w:sz w:val="20"/>
                <w:szCs w:val="20"/>
                <w:lang w:bidi="ar"/>
              </w:rPr>
              <w:t xml:space="preserve"> Predios de agostadero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$3,504.26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4.</w:t>
            </w:r>
            <w:r>
              <w:rPr>
                <w:rFonts w:ascii="Verdana" w:hAnsi="Verdana"/>
                <w:sz w:val="20"/>
                <w:szCs w:val="20"/>
                <w:lang w:val="es-MX" w:bidi="ar"/>
              </w:rPr>
              <w:t xml:space="preserve"> Predios de cerril o monte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$1,476.31</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Los valores base se verán afectados de acuerdo al coeficiente que resulte al aplicar los siguientes elementos agrológicos para la valuación, obteniéndose así los valores unitarios por hectárea: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4654"/>
        <w:gridCol w:w="9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Elementos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sz w:val="20"/>
                <w:szCs w:val="20"/>
                <w:lang w:bidi="ar"/>
              </w:rPr>
            </w:pPr>
            <w:r>
              <w:rPr>
                <w:rFonts w:ascii="Verdana" w:hAnsi="Verdana"/>
                <w:b/>
                <w:sz w:val="20"/>
                <w:szCs w:val="20"/>
                <w:lang w:bidi="ar"/>
              </w:rPr>
              <w:t>Factor</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1.</w:t>
            </w:r>
            <w:r>
              <w:rPr>
                <w:rFonts w:ascii="Verdana" w:hAnsi="Verdana"/>
                <w:sz w:val="20"/>
                <w:szCs w:val="20"/>
                <w:lang w:bidi="ar"/>
              </w:rPr>
              <w:t xml:space="preserve"> </w:t>
            </w:r>
            <w:r>
              <w:rPr>
                <w:rFonts w:ascii="Verdana" w:hAnsi="Verdana"/>
                <w:bCs/>
                <w:sz w:val="20"/>
                <w:szCs w:val="20"/>
                <w:lang w:bidi="ar"/>
              </w:rPr>
              <w:t>Espesor del suelo:</w:t>
            </w:r>
            <w:r>
              <w:rPr>
                <w:rFonts w:ascii="Verdana" w:hAnsi="Verdana"/>
                <w:sz w:val="20"/>
                <w:szCs w:val="20"/>
                <w:lang w:bidi="ar"/>
              </w:rPr>
              <w:t xml:space="preserve">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a)</w:t>
            </w:r>
            <w:r>
              <w:rPr>
                <w:rFonts w:ascii="Verdana" w:hAnsi="Verdana"/>
                <w:sz w:val="20"/>
                <w:szCs w:val="20"/>
                <w:lang w:bidi="ar"/>
              </w:rPr>
              <w:t xml:space="preserve"> Hasta 10 centímetros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b)</w:t>
            </w:r>
            <w:r>
              <w:rPr>
                <w:rFonts w:ascii="Verdana" w:hAnsi="Verdana"/>
                <w:sz w:val="20"/>
                <w:szCs w:val="20"/>
                <w:lang w:bidi="ar"/>
              </w:rPr>
              <w:t xml:space="preserve"> De 10.01 a 30 centímetros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c)</w:t>
            </w:r>
            <w:r>
              <w:rPr>
                <w:rFonts w:ascii="Verdana" w:hAnsi="Verdana"/>
                <w:sz w:val="20"/>
                <w:szCs w:val="20"/>
                <w:lang w:bidi="ar"/>
              </w:rPr>
              <w:t xml:space="preserve"> De 30.01 a 60 centímetros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d)</w:t>
            </w:r>
            <w:r>
              <w:rPr>
                <w:rFonts w:ascii="Verdana" w:hAnsi="Verdana"/>
                <w:sz w:val="20"/>
                <w:szCs w:val="20"/>
                <w:lang w:bidi="ar"/>
              </w:rPr>
              <w:t xml:space="preserve"> Mayor de 60 centímetros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2.</w:t>
            </w:r>
            <w:r>
              <w:rPr>
                <w:rFonts w:ascii="Verdana" w:hAnsi="Verdana"/>
                <w:sz w:val="20"/>
                <w:szCs w:val="20"/>
                <w:lang w:bidi="ar"/>
              </w:rPr>
              <w:t xml:space="preserve"> </w:t>
            </w:r>
            <w:r>
              <w:rPr>
                <w:rFonts w:ascii="Verdana" w:hAnsi="Verdana"/>
                <w:bCs/>
                <w:sz w:val="20"/>
                <w:szCs w:val="20"/>
                <w:lang w:bidi="ar"/>
              </w:rPr>
              <w:t>Topografía:</w:t>
            </w:r>
            <w:r>
              <w:rPr>
                <w:rFonts w:ascii="Verdana" w:hAnsi="Verdana"/>
                <w:sz w:val="20"/>
                <w:szCs w:val="20"/>
                <w:lang w:bidi="ar"/>
              </w:rPr>
              <w:t xml:space="preserve">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a)</w:t>
            </w:r>
            <w:r>
              <w:rPr>
                <w:rFonts w:ascii="Verdana" w:hAnsi="Verdana"/>
                <w:sz w:val="20"/>
                <w:szCs w:val="20"/>
                <w:lang w:bidi="ar"/>
              </w:rPr>
              <w:t xml:space="preserve"> Terrenos planos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b)</w:t>
            </w:r>
            <w:r>
              <w:rPr>
                <w:rFonts w:ascii="Verdana" w:hAnsi="Verdana"/>
                <w:sz w:val="20"/>
                <w:szCs w:val="20"/>
                <w:lang w:val="es-MX" w:bidi="ar"/>
              </w:rPr>
              <w:t xml:space="preserve"> Pendiente suave menor de 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c)</w:t>
            </w:r>
            <w:r>
              <w:rPr>
                <w:rFonts w:ascii="Verdana" w:hAnsi="Verdana"/>
                <w:sz w:val="20"/>
                <w:szCs w:val="20"/>
                <w:lang w:val="es-MX" w:bidi="ar"/>
              </w:rPr>
              <w:t xml:space="preserve"> Pendiente fuerte mayor de 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d)</w:t>
            </w:r>
            <w:r>
              <w:rPr>
                <w:rFonts w:ascii="Verdana" w:hAnsi="Verdana"/>
                <w:sz w:val="20"/>
                <w:szCs w:val="20"/>
                <w:lang w:bidi="ar"/>
              </w:rPr>
              <w:t xml:space="preserve"> Muy accidentado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Cs/>
                <w:sz w:val="20"/>
                <w:szCs w:val="20"/>
                <w:lang w:val="es-MX" w:bidi="ar"/>
              </w:rPr>
            </w:pPr>
            <w:r>
              <w:rPr>
                <w:rFonts w:ascii="Verdana" w:hAnsi="Verdana"/>
                <w:bCs/>
                <w:sz w:val="20"/>
                <w:szCs w:val="20"/>
                <w:lang w:val="es-MX" w:bidi="ar"/>
              </w:rPr>
              <w:t xml:space="preserve">3. Distancias a centros de comercialización: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a)</w:t>
            </w:r>
            <w:r>
              <w:rPr>
                <w:rFonts w:ascii="Verdana" w:hAnsi="Verdana"/>
                <w:sz w:val="20"/>
                <w:szCs w:val="20"/>
                <w:lang w:val="es-MX" w:bidi="ar"/>
              </w:rPr>
              <w:t xml:space="preserve"> A menos de 3 kilómetros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b)</w:t>
            </w:r>
            <w:r>
              <w:rPr>
                <w:rFonts w:ascii="Verdana" w:hAnsi="Verdana"/>
                <w:sz w:val="20"/>
                <w:szCs w:val="20"/>
                <w:lang w:val="es-MX" w:bidi="ar"/>
              </w:rPr>
              <w:t xml:space="preserve"> A más de 3 kilómetros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4.</w:t>
            </w:r>
            <w:r>
              <w:rPr>
                <w:rFonts w:ascii="Verdana" w:hAnsi="Verdana"/>
                <w:sz w:val="20"/>
                <w:szCs w:val="20"/>
                <w:lang w:val="es-MX" w:bidi="ar"/>
              </w:rPr>
              <w:t xml:space="preserve"> </w:t>
            </w:r>
            <w:r>
              <w:rPr>
                <w:rFonts w:ascii="Verdana" w:hAnsi="Verdana"/>
                <w:bCs/>
                <w:sz w:val="20"/>
                <w:szCs w:val="20"/>
                <w:lang w:val="es-MX" w:bidi="ar"/>
              </w:rPr>
              <w:t>Acceso a vías de comunicación:</w:t>
            </w:r>
            <w:r>
              <w:rPr>
                <w:rFonts w:ascii="Verdana" w:hAnsi="Verdana"/>
                <w:sz w:val="20"/>
                <w:szCs w:val="20"/>
                <w:lang w:val="es-MX" w:bidi="ar"/>
              </w:rPr>
              <w:t xml:space="preserve">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a)</w:t>
            </w:r>
            <w:r>
              <w:rPr>
                <w:rFonts w:ascii="Verdana" w:hAnsi="Verdana"/>
                <w:sz w:val="20"/>
                <w:szCs w:val="20"/>
                <w:lang w:bidi="ar"/>
              </w:rPr>
              <w:t xml:space="preserve"> Todo el año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b)</w:t>
            </w:r>
            <w:r>
              <w:rPr>
                <w:rFonts w:ascii="Verdana" w:hAnsi="Verdana"/>
                <w:sz w:val="20"/>
                <w:szCs w:val="20"/>
                <w:lang w:bidi="ar"/>
              </w:rPr>
              <w:t xml:space="preserve"> Tiempo de secas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c)</w:t>
            </w:r>
            <w:r>
              <w:rPr>
                <w:rFonts w:ascii="Verdana" w:hAnsi="Verdana"/>
                <w:sz w:val="20"/>
                <w:szCs w:val="20"/>
                <w:lang w:bidi="ar"/>
              </w:rPr>
              <w:t xml:space="preserve"> Sin acceso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0.50</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Fonts w:ascii="Verdana" w:hAnsi="Verdana"/>
          <w:sz w:val="20"/>
          <w:szCs w:val="20"/>
          <w:lang w:val="es-MX"/>
        </w:rPr>
        <w:t>El factor que se utilizará para terrenos de riego eventual será el 0.60. Para aplicar este factor, se calculará primeramente como terreno de riego.</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Fonts w:ascii="Verdana" w:hAnsi="Verdana"/>
          <w:sz w:val="20"/>
          <w:szCs w:val="20"/>
          <w:lang w:val="es-MX"/>
        </w:rPr>
        <w:t>b)</w:t>
      </w:r>
      <w:r>
        <w:rPr>
          <w:rFonts w:ascii="Verdana" w:hAnsi="Verdana"/>
          <w:sz w:val="20"/>
          <w:szCs w:val="20"/>
          <w:lang w:val="es-MX"/>
        </w:rPr>
        <w:tab/>
      </w:r>
      <w:r>
        <w:rPr>
          <w:rFonts w:ascii="Verdana" w:hAnsi="Verdana"/>
          <w:sz w:val="20"/>
          <w:szCs w:val="20"/>
          <w:lang w:val="es-MX"/>
        </w:rPr>
        <w:t>Tabla de valores por metro cuadrado para inmuebles menores de una hectárea, no dedicados a la agricultura (pie de casa o solar):</w:t>
      </w:r>
    </w:p>
    <w:p>
      <w:pPr>
        <w:pStyle w:val="85"/>
        <w:ind w:firstLine="708"/>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695"/>
        <w:gridCol w:w="94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1.</w:t>
            </w:r>
            <w:r>
              <w:rPr>
                <w:rFonts w:ascii="Verdana" w:hAnsi="Verdana"/>
                <w:sz w:val="20"/>
                <w:szCs w:val="20"/>
                <w:lang w:val="es-MX" w:bidi="ar"/>
              </w:rPr>
              <w:t xml:space="preserve"> Inmuebles cercanos a rancherías, sin ningún servicio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2. </w:t>
            </w:r>
            <w:r>
              <w:rPr>
                <w:rFonts w:ascii="Verdana" w:hAnsi="Verdana"/>
                <w:sz w:val="20"/>
                <w:szCs w:val="20"/>
                <w:lang w:val="es-MX" w:bidi="ar"/>
              </w:rPr>
              <w:t>Inmuebles cercanos a rancherías, sin servicios y en prolongación de calle cercana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$26.42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3.</w:t>
            </w:r>
            <w:r>
              <w:rPr>
                <w:rFonts w:ascii="Verdana" w:hAnsi="Verdana"/>
                <w:sz w:val="20"/>
                <w:szCs w:val="20"/>
                <w:lang w:val="es-MX" w:bidi="ar"/>
              </w:rPr>
              <w:t xml:space="preserve"> Inmuebles en rancherías, con calles sin servicios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4. </w:t>
            </w:r>
            <w:r>
              <w:rPr>
                <w:rFonts w:ascii="Verdana" w:hAnsi="Verdana"/>
                <w:sz w:val="20"/>
                <w:szCs w:val="20"/>
                <w:lang w:val="es-MX" w:bidi="ar"/>
              </w:rPr>
              <w:t>Inmuebles en rancherías, sobre calles trazadas con algún tipo de servicio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$75.20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5.</w:t>
            </w:r>
            <w:r>
              <w:rPr>
                <w:rFonts w:ascii="Verdana" w:hAnsi="Verdana"/>
                <w:sz w:val="20"/>
                <w:szCs w:val="20"/>
                <w:lang w:val="es-MX" w:bidi="ar"/>
              </w:rPr>
              <w:t xml:space="preserve"> Inmuebles en rancherías, sobre calles con todos los servicios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$87.95</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Fonts w:ascii="Verdana" w:hAnsi="Verdana"/>
          <w:sz w:val="20"/>
          <w:szCs w:val="20"/>
          <w:lang w:val="es-MX"/>
        </w:rPr>
        <w:t>La tabla de valores unitarios de construcción prevista en la fracción l, inciso b de este artículo, se aplicará a las construcciones edificadas en el suelo o terreno rústico.</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6</w:t>
      </w:r>
      <w:r>
        <w:rPr>
          <w:rFonts w:ascii="Verdana" w:hAnsi="Verdana"/>
          <w:sz w:val="20"/>
          <w:szCs w:val="20"/>
          <w:lang w:val="es-MX"/>
        </w:rPr>
        <w:t>. Para la práctica de los avalúos el Municipio atenderá a las tablas contenidas en la presente Ley, considerando los valores unitarios de los inmuebles, los que se determinarán conforme a los siguientes criterios:</w:t>
      </w:r>
    </w:p>
    <w:p>
      <w:pPr>
        <w:pStyle w:val="85"/>
        <w:jc w:val="both"/>
        <w:rPr>
          <w:rFonts w:ascii="Verdana" w:hAnsi="Verdana"/>
          <w:b/>
          <w:sz w:val="20"/>
          <w:szCs w:val="20"/>
          <w:lang w:val="es-MX"/>
        </w:rPr>
      </w:pPr>
    </w:p>
    <w:p>
      <w:pPr>
        <w:pStyle w:val="85"/>
        <w:jc w:val="both"/>
        <w:rPr>
          <w:rFonts w:ascii="Verdana" w:hAnsi="Verdana"/>
          <w:sz w:val="20"/>
          <w:szCs w:val="20"/>
          <w:lang w:val="es-MX"/>
        </w:rPr>
      </w:pPr>
      <w:r>
        <w:rPr>
          <w:rFonts w:ascii="Verdana" w:hAnsi="Verdana"/>
          <w:b/>
          <w:sz w:val="20"/>
          <w:szCs w:val="20"/>
          <w:lang w:val="es-MX"/>
        </w:rPr>
        <w:t>I. Tratándose de terrenos urbanos y suburbanos, se sujetarán a los siguientes factores: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Características de los servicios públicos y del equipamiento urbano;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Tipo de desarrollo urbano y su estado físico, en el cual se deberá considerar el uso actual y potencial del suelo y la uniformidad de los inmuebles edificados, sean residenciales, comerciales o industriales, así como aquellos de uso diferente;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bCs/>
          <w:sz w:val="20"/>
          <w:szCs w:val="20"/>
          <w:lang w:val="es-MX"/>
        </w:rPr>
        <w:t>Í</w:t>
      </w:r>
      <w:r>
        <w:rPr>
          <w:rFonts w:ascii="Verdana" w:hAnsi="Verdana"/>
          <w:sz w:val="20"/>
          <w:szCs w:val="20"/>
          <w:lang w:val="es-MX"/>
        </w:rPr>
        <w:t>ndice socioeconómico de los habitantes;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Las políticas de ordenamiento y regulación del territorio que sean aplicables; y</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w:t>
      </w:r>
      <w:r>
        <w:rPr>
          <w:rFonts w:ascii="Verdana" w:hAnsi="Verdana"/>
          <w:sz w:val="20"/>
          <w:szCs w:val="20"/>
          <w:lang w:val="es-MX"/>
        </w:rPr>
        <w:tab/>
      </w:r>
      <w:r>
        <w:rPr>
          <w:rFonts w:ascii="Verdana" w:hAnsi="Verdana"/>
          <w:sz w:val="20"/>
          <w:szCs w:val="20"/>
          <w:lang w:val="es-MX"/>
        </w:rPr>
        <w:t>Las características geológicas y topográficas, así como la irregularidad en el perímetro, que afecte su valor comercial.</w:t>
      </w:r>
    </w:p>
    <w:p>
      <w:pPr>
        <w:pStyle w:val="85"/>
        <w:jc w:val="both"/>
        <w:rPr>
          <w:rFonts w:ascii="Verdana" w:hAnsi="Verdana"/>
          <w:sz w:val="20"/>
          <w:szCs w:val="20"/>
          <w:lang w:val="es-MX"/>
        </w:rPr>
      </w:pPr>
    </w:p>
    <w:p>
      <w:pPr>
        <w:pStyle w:val="85"/>
        <w:jc w:val="both"/>
        <w:rPr>
          <w:rFonts w:ascii="Verdana" w:hAnsi="Verdana"/>
          <w:b/>
          <w:sz w:val="20"/>
          <w:szCs w:val="20"/>
          <w:lang w:val="es-MX"/>
        </w:rPr>
      </w:pPr>
      <w:r>
        <w:rPr>
          <w:rFonts w:ascii="Verdana" w:hAnsi="Verdana"/>
          <w:b/>
          <w:sz w:val="20"/>
          <w:szCs w:val="20"/>
          <w:lang w:val="es-MX"/>
        </w:rPr>
        <w:t>II.</w:t>
      </w:r>
      <w:r>
        <w:rPr>
          <w:rFonts w:ascii="Verdana" w:hAnsi="Verdana"/>
          <w:b/>
          <w:sz w:val="20"/>
          <w:szCs w:val="20"/>
          <w:lang w:val="es-MX"/>
        </w:rPr>
        <w:tab/>
      </w:r>
      <w:r>
        <w:rPr>
          <w:rFonts w:ascii="Verdana" w:hAnsi="Verdana"/>
          <w:b/>
          <w:sz w:val="20"/>
          <w:szCs w:val="20"/>
          <w:lang w:val="es-MX"/>
        </w:rPr>
        <w:t>Para el caso de terrenos rústicos, se hará atendiendo a los siguientes factores: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Las características del medio físico, recursos naturales y situación ambiental que conformen el sistema ecológico;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 infraestructura y servicios integrados al área; y</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 situación jurídica de la tenencia de la tierra.</w:t>
      </w:r>
    </w:p>
    <w:p>
      <w:pPr>
        <w:pStyle w:val="85"/>
        <w:jc w:val="both"/>
        <w:rPr>
          <w:rFonts w:ascii="Verdana" w:hAnsi="Verdana"/>
          <w:sz w:val="20"/>
          <w:szCs w:val="20"/>
          <w:lang w:val="es-MX"/>
        </w:rPr>
      </w:pPr>
    </w:p>
    <w:p>
      <w:pPr>
        <w:pStyle w:val="85"/>
        <w:jc w:val="both"/>
        <w:rPr>
          <w:rFonts w:ascii="Verdana" w:hAnsi="Verdana"/>
          <w:b/>
          <w:sz w:val="20"/>
          <w:szCs w:val="20"/>
          <w:lang w:val="es-MX"/>
        </w:rPr>
      </w:pPr>
      <w:r>
        <w:rPr>
          <w:rFonts w:ascii="Verdana" w:hAnsi="Verdana"/>
          <w:b/>
          <w:sz w:val="20"/>
          <w:szCs w:val="20"/>
          <w:lang w:val="es-MX"/>
        </w:rPr>
        <w:t>III.    Tratándose de construcción, se atenderá a los factores siguientes:</w:t>
      </w:r>
    </w:p>
    <w:p>
      <w:pPr>
        <w:pStyle w:val="85"/>
        <w:jc w:val="both"/>
        <w:rPr>
          <w:rFonts w:ascii="Verdana" w:hAnsi="Verdana"/>
          <w:bCs/>
          <w:sz w:val="20"/>
          <w:szCs w:val="20"/>
          <w:lang w:val="es-MX"/>
        </w:rPr>
      </w:pPr>
    </w:p>
    <w:p>
      <w:pPr>
        <w:pStyle w:val="85"/>
        <w:jc w:val="both"/>
        <w:rPr>
          <w:rFonts w:ascii="Verdana" w:hAnsi="Verdana"/>
          <w:sz w:val="20"/>
          <w:szCs w:val="20"/>
          <w:lang w:val="es-MX"/>
        </w:rPr>
      </w:pPr>
      <w:r>
        <w:rPr>
          <w:rFonts w:ascii="Verdana" w:hAnsi="Verdana"/>
          <w:sz w:val="20"/>
          <w:szCs w:val="20"/>
          <w:lang w:val="es-MX"/>
        </w:rPr>
        <w:t>Uso y calidad de la construcción;</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Costo y calidad de los materiales de construcción utilizados; y</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Costo de la mano de obra empleada.</w:t>
      </w:r>
    </w:p>
    <w:p>
      <w:pPr>
        <w:pStyle w:val="85"/>
        <w:jc w:val="both"/>
        <w:rPr>
          <w:rStyle w:val="223"/>
          <w:rFonts w:ascii="Verdana" w:hAnsi="Verdana" w:cs="Arial"/>
          <w:sz w:val="20"/>
          <w:szCs w:val="20"/>
          <w:lang w:val="es-MX"/>
        </w:rPr>
      </w:pP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SEGUNDA</w:t>
      </w:r>
      <w:r>
        <w:rPr>
          <w:rStyle w:val="223"/>
          <w:rFonts w:ascii="Verdana" w:hAnsi="Verdana" w:cs="Arial"/>
          <w:sz w:val="20"/>
          <w:szCs w:val="20"/>
          <w:lang w:val="es-MX"/>
        </w:rPr>
        <w:br w:type="textWrapping"/>
      </w:r>
      <w:r>
        <w:rPr>
          <w:rStyle w:val="223"/>
          <w:rFonts w:ascii="Verdana" w:hAnsi="Verdana" w:cs="Arial"/>
          <w:sz w:val="20"/>
          <w:szCs w:val="20"/>
          <w:lang w:val="es-MX"/>
        </w:rPr>
        <w:t>IMPUESTO SOBRE ADQUISICIÓN DE BIENES INMUEBLES</w:t>
      </w:r>
    </w:p>
    <w:p>
      <w:pPr>
        <w:pStyle w:val="85"/>
        <w:jc w:val="center"/>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7</w:t>
      </w:r>
      <w:r>
        <w:rPr>
          <w:rFonts w:ascii="Verdana" w:hAnsi="Verdana"/>
          <w:sz w:val="20"/>
          <w:szCs w:val="20"/>
          <w:lang w:val="es-MX"/>
        </w:rPr>
        <w:t>. El impuesto sobre adquisición de bienes inmuebles se causará y liquidará a la tasa del 0.5%.</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TERCERA</w:t>
      </w:r>
      <w:r>
        <w:rPr>
          <w:rStyle w:val="223"/>
          <w:rFonts w:ascii="Verdana" w:hAnsi="Verdana" w:cs="Arial"/>
          <w:sz w:val="20"/>
          <w:szCs w:val="20"/>
          <w:lang w:val="es-MX"/>
        </w:rPr>
        <w:br w:type="textWrapping"/>
      </w:r>
      <w:r>
        <w:rPr>
          <w:rStyle w:val="223"/>
          <w:rFonts w:ascii="Verdana" w:hAnsi="Verdana" w:cs="Arial"/>
          <w:sz w:val="20"/>
          <w:szCs w:val="20"/>
          <w:lang w:val="es-MX"/>
        </w:rPr>
        <w:t>IMPUESTO SOBRE DIVISIÓN Y LOTIFICACIÓN DE INMUEBLES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8</w:t>
      </w:r>
      <w:r>
        <w:rPr>
          <w:rFonts w:ascii="Verdana" w:hAnsi="Verdana"/>
          <w:sz w:val="20"/>
          <w:szCs w:val="20"/>
          <w:lang w:val="es-MX"/>
        </w:rPr>
        <w:t>. El impuesto sobre división y lotificación de inmuebles se causará y liquidará conforme a las siguientes:</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S A S</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734"/>
        <w:gridCol w:w="91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I. </w:t>
            </w:r>
            <w:r>
              <w:rPr>
                <w:rFonts w:ascii="Verdana" w:hAnsi="Verdana"/>
                <w:sz w:val="20"/>
                <w:szCs w:val="20"/>
                <w:lang w:val="es-MX" w:bidi="ar"/>
              </w:rPr>
              <w:t>Tratándose de la división o lotificación de inmuebles urbanos y suburbanos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0.90%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II. </w:t>
            </w:r>
            <w:r>
              <w:rPr>
                <w:rFonts w:ascii="Verdana" w:hAnsi="Verdana"/>
                <w:sz w:val="20"/>
                <w:szCs w:val="20"/>
                <w:lang w:val="es-MX" w:bidi="ar"/>
              </w:rPr>
              <w:t>Tratándose de la división de un inmueble por la constitución de condominios horizontales, verticales o mixtos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0.45%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III.</w:t>
            </w:r>
            <w:r>
              <w:rPr>
                <w:rFonts w:ascii="Verdana" w:hAnsi="Verdana"/>
                <w:sz w:val="20"/>
                <w:szCs w:val="20"/>
                <w:lang w:val="es-MX" w:bidi="ar"/>
              </w:rPr>
              <w:t xml:space="preserve"> Tratándose de inmuebles rústicos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0.45%</w:t>
            </w:r>
          </w:p>
        </w:tc>
      </w:tr>
    </w:tbl>
    <w:p>
      <w:pPr>
        <w:pStyle w:val="85"/>
        <w:jc w:val="both"/>
        <w:rPr>
          <w:rFonts w:ascii="Verdana" w:hAnsi="Verdana"/>
          <w:sz w:val="20"/>
          <w:szCs w:val="20"/>
          <w:lang w:val="es-MX"/>
        </w:rPr>
      </w:pPr>
      <w:r>
        <w:rPr>
          <w:rFonts w:ascii="Verdana" w:hAnsi="Verdana"/>
          <w:sz w:val="20"/>
          <w:szCs w:val="20"/>
          <w:lang w:val="es-MX"/>
        </w:rPr>
        <w:t>No se causará este impuesto en los supuestos establecidos en el artículo 187 de la Ley de Hacienda para los Municipios del Estado de Guanajuato.</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CUARTA</w:t>
      </w:r>
      <w:r>
        <w:rPr>
          <w:rStyle w:val="223"/>
          <w:rFonts w:ascii="Verdana" w:hAnsi="Verdana" w:cs="Arial"/>
          <w:sz w:val="20"/>
          <w:szCs w:val="20"/>
          <w:lang w:val="es-MX"/>
        </w:rPr>
        <w:br w:type="textWrapping"/>
      </w:r>
      <w:r>
        <w:rPr>
          <w:rStyle w:val="223"/>
          <w:rFonts w:ascii="Verdana" w:hAnsi="Verdana" w:cs="Arial"/>
          <w:sz w:val="20"/>
          <w:szCs w:val="20"/>
          <w:lang w:val="es-MX"/>
        </w:rPr>
        <w:t>IMPUESTO DE FRACCIONAMIENTOS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9</w:t>
      </w:r>
      <w:r>
        <w:rPr>
          <w:rFonts w:ascii="Verdana" w:hAnsi="Verdana"/>
          <w:sz w:val="20"/>
          <w:szCs w:val="20"/>
          <w:lang w:val="es-MX"/>
        </w:rPr>
        <w:t>. El impuesto de fraccionamientos se causará y liquidará conforme a la siguiente:</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7220"/>
        <w:gridCol w:w="8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Tarifa por metro cuadrado de superficie vendible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Fraccionamiento residencial «A»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Fraccionamiento residencial «B»</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III.</w:t>
            </w:r>
            <w:r>
              <w:rPr>
                <w:rFonts w:ascii="Verdana" w:hAnsi="Verdana"/>
                <w:sz w:val="20"/>
                <w:szCs w:val="20"/>
                <w:lang w:bidi="ar"/>
              </w:rPr>
              <w:t xml:space="preserve"> Fraccionamiento residencial «C»</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IV.</w:t>
            </w:r>
            <w:r>
              <w:rPr>
                <w:rFonts w:ascii="Verdana" w:hAnsi="Verdana"/>
                <w:sz w:val="20"/>
                <w:szCs w:val="20"/>
                <w:lang w:val="es-MX" w:bidi="ar"/>
              </w:rPr>
              <w:t xml:space="preserve"> Fraccionamiento de habitación popular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V.</w:t>
            </w:r>
            <w:r>
              <w:rPr>
                <w:rFonts w:ascii="Verdana" w:hAnsi="Verdana"/>
                <w:sz w:val="20"/>
                <w:szCs w:val="20"/>
                <w:lang w:val="es-MX" w:bidi="ar"/>
              </w:rPr>
              <w:t xml:space="preserve"> Fraccionamiento de interés social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VI.</w:t>
            </w:r>
            <w:r>
              <w:rPr>
                <w:rFonts w:ascii="Verdana" w:hAnsi="Verdana"/>
                <w:sz w:val="20"/>
                <w:szCs w:val="20"/>
                <w:lang w:val="es-MX" w:bidi="ar"/>
              </w:rPr>
              <w:t xml:space="preserve"> Fraccionamiento de urbanización progresiva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VII.</w:t>
            </w:r>
            <w:r>
              <w:rPr>
                <w:rFonts w:ascii="Verdana" w:hAnsi="Verdana"/>
                <w:sz w:val="20"/>
                <w:szCs w:val="20"/>
                <w:lang w:val="es-MX" w:bidi="ar"/>
              </w:rPr>
              <w:t xml:space="preserve"> Fraccionamiento industrial para industria ligera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VIII.</w:t>
            </w:r>
            <w:r>
              <w:rPr>
                <w:rFonts w:ascii="Verdana" w:hAnsi="Verdana"/>
                <w:sz w:val="20"/>
                <w:szCs w:val="20"/>
                <w:lang w:val="es-MX" w:bidi="ar"/>
              </w:rPr>
              <w:t xml:space="preserve"> Fraccionamiento industrial para industria mediana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IX.</w:t>
            </w:r>
            <w:r>
              <w:rPr>
                <w:rFonts w:ascii="Verdana" w:hAnsi="Verdana"/>
                <w:sz w:val="20"/>
                <w:szCs w:val="20"/>
                <w:lang w:val="es-MX" w:bidi="ar"/>
              </w:rPr>
              <w:t xml:space="preserve"> Fraccionamiento industrial para industria pesada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X.</w:t>
            </w:r>
            <w:r>
              <w:rPr>
                <w:rFonts w:ascii="Verdana" w:hAnsi="Verdana"/>
                <w:sz w:val="20"/>
                <w:szCs w:val="20"/>
                <w:lang w:bidi="ar"/>
              </w:rPr>
              <w:t xml:space="preserve"> Fraccionamiento campestre residencial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XI.</w:t>
            </w:r>
            <w:r>
              <w:rPr>
                <w:rFonts w:ascii="Verdana" w:hAnsi="Verdana"/>
                <w:sz w:val="20"/>
                <w:szCs w:val="20"/>
                <w:lang w:bidi="ar"/>
              </w:rPr>
              <w:t xml:space="preserve"> Fraccionamiento campestre rústico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XII.</w:t>
            </w:r>
            <w:r>
              <w:rPr>
                <w:rFonts w:ascii="Verdana" w:hAnsi="Verdana"/>
                <w:sz w:val="20"/>
                <w:szCs w:val="20"/>
                <w:lang w:val="es-MX" w:bidi="ar"/>
              </w:rPr>
              <w:t xml:space="preserve"> Fraccionamiento turístico, recreativo-deportivo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XIII.</w:t>
            </w:r>
            <w:r>
              <w:rPr>
                <w:rFonts w:ascii="Verdana" w:hAnsi="Verdana"/>
                <w:sz w:val="20"/>
                <w:szCs w:val="20"/>
                <w:lang w:bidi="ar"/>
              </w:rPr>
              <w:t xml:space="preserve"> Fraccionamiento comercial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XIV.</w:t>
            </w:r>
            <w:r>
              <w:rPr>
                <w:rFonts w:ascii="Verdana" w:hAnsi="Verdana"/>
                <w:sz w:val="20"/>
                <w:szCs w:val="20"/>
                <w:lang w:bidi="ar"/>
              </w:rPr>
              <w:t xml:space="preserve"> Fraccionamiento agropecuario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7220"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XV.</w:t>
            </w:r>
            <w:r>
              <w:rPr>
                <w:rFonts w:ascii="Verdana" w:hAnsi="Verdana"/>
                <w:sz w:val="20"/>
                <w:szCs w:val="20"/>
                <w:lang w:val="es-MX" w:bidi="ar"/>
              </w:rPr>
              <w:t xml:space="preserve"> Fraccionamiento mixto de usos compatibles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$0.39</w:t>
            </w:r>
          </w:p>
        </w:tc>
      </w:tr>
    </w:tbl>
    <w:p>
      <w:pPr>
        <w:pStyle w:val="85"/>
        <w:jc w:val="both"/>
        <w:rPr>
          <w:rFonts w:ascii="Verdana" w:hAnsi="Verdana"/>
          <w:sz w:val="20"/>
          <w:szCs w:val="20"/>
        </w:rPr>
      </w:pPr>
      <w:r>
        <w:rPr>
          <w:rFonts w:ascii="Verdana" w:hAnsi="Verdana"/>
          <w:sz w:val="20"/>
          <w:szCs w:val="20"/>
        </w:rPr>
        <w:t xml:space="preserve">  </w:t>
      </w: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QUINTA</w:t>
      </w:r>
      <w:r>
        <w:rPr>
          <w:rStyle w:val="223"/>
          <w:rFonts w:ascii="Verdana" w:hAnsi="Verdana" w:cs="Arial"/>
          <w:sz w:val="20"/>
          <w:szCs w:val="20"/>
          <w:lang w:val="es-MX"/>
        </w:rPr>
        <w:br w:type="textWrapping"/>
      </w:r>
      <w:r>
        <w:rPr>
          <w:rStyle w:val="223"/>
          <w:rFonts w:ascii="Verdana" w:hAnsi="Verdana" w:cs="Arial"/>
          <w:sz w:val="20"/>
          <w:szCs w:val="20"/>
          <w:lang w:val="es-MX"/>
        </w:rPr>
        <w:t>IMPUESTO SOBRE JUEGOS Y APUESTAS PERMITIDAS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10</w:t>
      </w:r>
      <w:r>
        <w:rPr>
          <w:rFonts w:ascii="Verdana" w:hAnsi="Verdana"/>
          <w:sz w:val="20"/>
          <w:szCs w:val="20"/>
          <w:lang w:val="es-MX"/>
        </w:rPr>
        <w:t>. El impuesto sobre juegos y apuestas permitidas se causará y liquidará a la tasa del 21%.</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SEXTA</w:t>
      </w:r>
      <w:r>
        <w:rPr>
          <w:rStyle w:val="223"/>
          <w:rFonts w:ascii="Verdana" w:hAnsi="Verdana" w:cs="Arial"/>
          <w:sz w:val="20"/>
          <w:szCs w:val="20"/>
          <w:lang w:val="es-MX"/>
        </w:rPr>
        <w:br w:type="textWrapping"/>
      </w:r>
      <w:r>
        <w:rPr>
          <w:rStyle w:val="223"/>
          <w:rFonts w:ascii="Verdana" w:hAnsi="Verdana" w:cs="Arial"/>
          <w:sz w:val="20"/>
          <w:szCs w:val="20"/>
          <w:lang w:val="es-MX"/>
        </w:rPr>
        <w:t>IMPUESTO SOBRE DIVERSIONES Y ESPECTÁCULOS PÚBLICOS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11</w:t>
      </w:r>
      <w:r>
        <w:rPr>
          <w:rFonts w:ascii="Verdana" w:hAnsi="Verdana"/>
          <w:sz w:val="20"/>
          <w:szCs w:val="20"/>
          <w:lang w:val="es-MX"/>
        </w:rPr>
        <w:t>. El impuesto sobre diversiones y espectáculos públicos se causará y liquidará a la tasa del 11%, excepto los espectáculos de teatro y circo, los cuales tributarán a la tasa del 8%.</w:t>
      </w:r>
    </w:p>
    <w:p>
      <w:pPr>
        <w:pStyle w:val="85"/>
        <w:jc w:val="center"/>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SÉPTIMA</w:t>
      </w:r>
      <w:r>
        <w:rPr>
          <w:rStyle w:val="223"/>
          <w:rFonts w:ascii="Verdana" w:hAnsi="Verdana" w:cs="Arial"/>
          <w:sz w:val="20"/>
          <w:szCs w:val="20"/>
          <w:lang w:val="es-MX"/>
        </w:rPr>
        <w:br w:type="textWrapping"/>
      </w:r>
      <w:r>
        <w:rPr>
          <w:rStyle w:val="223"/>
          <w:rFonts w:ascii="Verdana" w:hAnsi="Verdana" w:cs="Arial"/>
          <w:sz w:val="20"/>
          <w:szCs w:val="20"/>
          <w:lang w:val="es-MX"/>
        </w:rPr>
        <w:t>IMPUESTO SOBRE RIFAS, SORTEOS, LOTERÍAS Y CONCURSOS</w:t>
      </w:r>
    </w:p>
    <w:p>
      <w:pPr>
        <w:pStyle w:val="85"/>
        <w:jc w:val="center"/>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12</w:t>
      </w:r>
      <w:r>
        <w:rPr>
          <w:rFonts w:ascii="Verdana" w:hAnsi="Verdana"/>
          <w:sz w:val="20"/>
          <w:szCs w:val="20"/>
          <w:lang w:val="es-MX"/>
        </w:rPr>
        <w:t>. El impuesto sobre rifas, sorteos, loterías y concursos se causará y liquidará a la tasa del 6%.</w:t>
      </w:r>
    </w:p>
    <w:p>
      <w:pPr>
        <w:pStyle w:val="85"/>
        <w:jc w:val="both"/>
        <w:rPr>
          <w:rFonts w:ascii="Verdana" w:hAnsi="Verdana"/>
          <w:sz w:val="20"/>
          <w:szCs w:val="20"/>
          <w:lang w:val="es-MX"/>
        </w:rPr>
      </w:pPr>
    </w:p>
    <w:p>
      <w:pPr>
        <w:pStyle w:val="85"/>
        <w:jc w:val="both"/>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OCTAVA</w:t>
      </w:r>
      <w:r>
        <w:rPr>
          <w:rStyle w:val="223"/>
          <w:rFonts w:ascii="Verdana" w:hAnsi="Verdana" w:cs="Arial"/>
          <w:sz w:val="20"/>
          <w:szCs w:val="20"/>
          <w:lang w:val="es-MX"/>
        </w:rPr>
        <w:br w:type="textWrapping"/>
      </w:r>
      <w:r>
        <w:rPr>
          <w:rStyle w:val="223"/>
          <w:rFonts w:ascii="Verdana" w:hAnsi="Verdana" w:cs="Arial"/>
          <w:sz w:val="20"/>
          <w:szCs w:val="20"/>
          <w:lang w:val="es-MX"/>
        </w:rPr>
        <w:t>IMPUESTO SOBRE EXPLOTACIÓN DE BANCOS DE MÁRMOLES, CANTERAS, PIZARRAS, BASALTOS, CAL, CALIZAS, TEZONTLE, TEPETATE Y SUS DERIVADOS, ARENA, GRAVA Y OTROS SIMILARES</w:t>
      </w:r>
    </w:p>
    <w:p>
      <w:pPr>
        <w:pStyle w:val="85"/>
        <w:jc w:val="center"/>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13</w:t>
      </w:r>
      <w:r>
        <w:rPr>
          <w:rFonts w:ascii="Verdana" w:hAnsi="Verdana"/>
          <w:sz w:val="20"/>
          <w:szCs w:val="20"/>
          <w:lang w:val="es-MX"/>
        </w:rPr>
        <w:t>. El impuesto sobre explotación de bancos de mármoles, canteras, pizarras, basaltos, cal, calizas, tezontle, tepetate y sus derivados, arena, grava y otros similares, se causará y liquidará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588"/>
        <w:gridCol w:w="94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cúbico de cantera sin labrar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cantera labrada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chapa de cantera para revestir edificios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tonelada de pedacería de cantera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bloque de mármol, por kilogramo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tonelada de pedacería de mármol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adoquín derivado de cantera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lineal de guarniciones derivadas de cantera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tonelada de basalto, pizarra y caliza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cúbico de arena, grava, tepetate y tezontle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cúbico de conglomerado o sus derivados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$0.35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center"/>
        <w:rPr>
          <w:rFonts w:ascii="Verdana" w:hAnsi="Verdana"/>
          <w:sz w:val="20"/>
          <w:szCs w:val="20"/>
        </w:rPr>
      </w:pPr>
      <w:r>
        <w:rPr>
          <w:rStyle w:val="223"/>
          <w:rFonts w:ascii="Verdana" w:hAnsi="Verdana" w:cs="Arial"/>
          <w:sz w:val="20"/>
          <w:szCs w:val="20"/>
        </w:rPr>
        <w:t>CAPÍTULO CUARTO</w:t>
      </w:r>
      <w:r>
        <w:rPr>
          <w:rStyle w:val="223"/>
          <w:rFonts w:ascii="Verdana" w:hAnsi="Verdana" w:cs="Arial"/>
          <w:sz w:val="20"/>
          <w:szCs w:val="20"/>
        </w:rPr>
        <w:br w:type="textWrapping"/>
      </w:r>
      <w:r>
        <w:rPr>
          <w:rStyle w:val="223"/>
          <w:rFonts w:ascii="Verdana" w:hAnsi="Verdana" w:cs="Arial"/>
          <w:sz w:val="20"/>
          <w:szCs w:val="20"/>
        </w:rPr>
        <w:t>DERECHOS</w:t>
      </w:r>
    </w:p>
    <w:p>
      <w:pPr>
        <w:pStyle w:val="85"/>
        <w:jc w:val="center"/>
        <w:rPr>
          <w:rFonts w:ascii="Verdana" w:hAnsi="Verdana"/>
          <w:sz w:val="20"/>
          <w:szCs w:val="20"/>
          <w:lang w:val="es-MX"/>
        </w:rPr>
      </w:pPr>
      <w:r>
        <w:rPr>
          <w:rStyle w:val="223"/>
          <w:rFonts w:ascii="Verdana" w:hAnsi="Verdana" w:cs="Arial"/>
          <w:sz w:val="20"/>
          <w:szCs w:val="20"/>
          <w:lang w:val="es-MX"/>
        </w:rPr>
        <w:t>SECCIÓN PRIMERA</w:t>
      </w:r>
      <w:r>
        <w:rPr>
          <w:rStyle w:val="223"/>
          <w:rFonts w:ascii="Verdana" w:hAnsi="Verdana" w:cs="Arial"/>
          <w:sz w:val="20"/>
          <w:szCs w:val="20"/>
          <w:lang w:val="es-MX"/>
        </w:rPr>
        <w:br w:type="textWrapping"/>
      </w:r>
      <w:r>
        <w:rPr>
          <w:rStyle w:val="223"/>
          <w:rFonts w:ascii="Verdana" w:hAnsi="Verdana" w:cs="Arial"/>
          <w:sz w:val="20"/>
          <w:szCs w:val="20"/>
          <w:lang w:val="es-MX"/>
        </w:rPr>
        <w:t>SERVICIOS DE AGUA POTABLE, DRENAJE, ALCANTARILLADO, TRATAMIENTO Y DISPOSICIÓN DE SUS AGUAS RESIDUALES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Fonts w:ascii="Verdana" w:hAnsi="Verdana"/>
          <w:b/>
          <w:bCs/>
          <w:sz w:val="20"/>
          <w:szCs w:val="20"/>
          <w:lang w:val="es-MX"/>
        </w:rPr>
        <w:t>Artículo 14.</w:t>
      </w:r>
      <w:r>
        <w:rPr>
          <w:rFonts w:ascii="Verdana" w:hAnsi="Verdana"/>
          <w:sz w:val="20"/>
          <w:szCs w:val="20"/>
          <w:lang w:val="es-MX"/>
        </w:rPr>
        <w:t xml:space="preserve"> Las contraprestaciones correspondientes a los servicios públicos de agua potable, drenaje, alcantarillado, tratamiento y disposición de sus aguas residuales, se pagarán bimestralmente conforme a lo siguiente:</w:t>
      </w:r>
    </w:p>
    <w:p>
      <w:pPr>
        <w:pStyle w:val="85"/>
        <w:jc w:val="both"/>
        <w:rPr>
          <w:rFonts w:ascii="Verdana" w:hAnsi="Verdana"/>
          <w:sz w:val="20"/>
          <w:szCs w:val="20"/>
          <w:lang w:val="es-MX"/>
        </w:rPr>
      </w:pPr>
    </w:p>
    <w:p>
      <w:pPr>
        <w:pStyle w:val="85"/>
        <w:jc w:val="both"/>
        <w:rPr>
          <w:rFonts w:ascii="Verdana" w:hAnsi="Verdana"/>
          <w:b/>
          <w:bCs/>
          <w:sz w:val="20"/>
          <w:szCs w:val="20"/>
          <w:lang w:val="es-MX"/>
        </w:rPr>
      </w:pPr>
      <w:r>
        <w:rPr>
          <w:rFonts w:ascii="Verdana" w:hAnsi="Verdana"/>
          <w:b/>
          <w:bCs/>
          <w:sz w:val="20"/>
          <w:szCs w:val="20"/>
          <w:lang w:val="es-MX"/>
        </w:rPr>
        <w:t xml:space="preserve">I.   Tarifa bimestral por servicio de agua potable por consumo medido   </w:t>
      </w:r>
    </w:p>
    <w:p>
      <w:pPr>
        <w:pStyle w:val="85"/>
        <w:jc w:val="both"/>
        <w:rPr>
          <w:rFonts w:ascii="Verdana" w:hAnsi="Verdana"/>
          <w:b/>
          <w:bCs/>
          <w:sz w:val="20"/>
          <w:szCs w:val="20"/>
        </w:rPr>
      </w:pPr>
      <w:r>
        <w:rPr>
          <w:rFonts w:ascii="Verdana" w:hAnsi="Verdana"/>
          <w:b/>
          <w:bCs/>
          <w:sz w:val="20"/>
          <w:szCs w:val="20"/>
        </w:rPr>
        <w:t xml:space="preserve">a)   Uso doméstico: </w:t>
      </w:r>
    </w:p>
    <w:p>
      <w:pPr>
        <w:pStyle w:val="85"/>
        <w:jc w:val="both"/>
        <w:rPr>
          <w:rFonts w:ascii="Verdana" w:hAnsi="Verdana"/>
          <w:sz w:val="20"/>
          <w:szCs w:val="20"/>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303"/>
        <w:gridCol w:w="1149"/>
        <w:gridCol w:w="1118"/>
        <w:gridCol w:w="1116"/>
        <w:gridCol w:w="1122"/>
        <w:gridCol w:w="1480"/>
        <w:gridCol w:w="176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Doméstico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76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c>
          <w:tcPr>
            <w:tcW w:w="176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$142.49</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 xml:space="preserve">A la cuota base se le sumará el importe de acuerdo al consumo del usuario conforme la siguiente tabla: </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64"/>
        <w:gridCol w:w="1355"/>
        <w:gridCol w:w="1300"/>
        <w:gridCol w:w="1297"/>
        <w:gridCol w:w="1308"/>
        <w:gridCol w:w="1564"/>
        <w:gridCol w:w="1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$346.98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$467.23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$519.91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$515.55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$523.83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$528.02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$532.25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$536.50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$535.91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$553.26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$547.92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$552.31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$556.73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$565.67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$570.19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$564.34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$573.40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$587.27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$594.89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$599.65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$604.45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$602.31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$607.12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$621.81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$649.94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$655.14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$645.05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$655.41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$665.94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$671.27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$665.84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$687.40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$698.11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$703.69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$703.05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$720.06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$707.78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$736.55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$729.50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$735.34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$747.15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$753.13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$739.71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$745.63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$769.78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$767.95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$780.29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$786.53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$772.01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$784.41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$790.68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$797.01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$803.39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$794.59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$807.36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$820.33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$804.69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$824.16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$837.39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$834.33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$847.73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$854.52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$844.41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$871.75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$868.10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$889.10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$868.96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$875.91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$897.10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$904.28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$890.59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$912.14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$919.43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$912.60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$934.68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$949.97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$950.02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$957.62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$965.28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$957.35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$956.90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$964.56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$995.80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$987.20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$995.10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$1,003.06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$1,011.08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$1,002.18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$1,026.43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$1,009.12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$1,033.53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$1,041.80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$1,015.86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$1,023.99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$1,032.18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$1,040.43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$1,048.76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$1,057.15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$1,030.69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$1,055.62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$1,064.07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$1,072.58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$1,045.58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$1,053.95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$1,062.38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$1,088.08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$1,068.95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$1,077.50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$1,086.12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$1,103.57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$1,084.00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$1,119.11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$1,116.70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$1,125.63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$1,134.63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$1,123.04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$1,165.88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$1,135.39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$1,181.54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$1,197.22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$1,184.32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$1,212.97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$1,228.69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$1,215.09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$1,244.49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$1,220.78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$1,240.39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$1,250.31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$1,260.31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$1,236.13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$1,266.03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$1,276.16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$1,305.30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$1,315.75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$1,326.27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$1,358.36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$1,343.95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$1,365.54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$1,376.47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$1,340.19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$1,350.91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$1,383.59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$1,394.66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$1,379.53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$1,390.57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$1,412.91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$1,386.29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$1,408.56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$1,431.19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$1,438.05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$1,449.56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$1,456.31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$1,467.96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$1,439.80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$1,486.43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$1,469.48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$1,493.09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$1,505.03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$1,523.60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$1,542.28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$1,500.03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$1,524.13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$1,548.61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$1,518.11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$1,530.25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$1,579.81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$1,573.45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$1,598.73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$1,566.85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$1,579.39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$1,617.60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$1,572.68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$1,623.61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$1,636.60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$1,655.69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$1,622.24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$1,635.22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$1,648.30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$1,674.78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$1,640.82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$1,653.95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$1,680.52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$1,693.96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$1,686.13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$1,699.62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$1,713.21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$1,755.35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$1,769.39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$1,783.55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$1,763.16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$1,805.82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$1,756.73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$1,770.78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$1,813.62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$1,828.13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$1,792.51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$1,806.85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$1,850.57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$1,799.95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$1,843.50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$1,873.11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$1,836.29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$1,850.98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$1,895.76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$1,873.25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$1,888.23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$1,918.56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$1,865.62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$1,941.45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$1,948.79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$1,964.38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$1,925.13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$1,940.53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$1,956.05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$1,987.47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$1,932.11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$1,978.86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$1,994.69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$2,010.65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$1,954.49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$1,985.89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$2,033.93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$1,976.96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$2,024.79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$2,057.32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$2,064.27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$2,080.79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$2,054.69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$2,104.39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$2,044.99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$2,077.84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$2,128.11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$2,117.87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$2,134.82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$2,151.89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$2,124.47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$2,158.59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$2,175.86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$2,147.86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$2,199.82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$2,137.10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$2,154.20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$2,223.97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$2,195.05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$2,248.16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$2,183.73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$2,272.49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$2,224.87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$2,296.92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$2,230.79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$2,303.04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$2,321.46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$2,254.47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$2,290.68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$2,309.01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$2,327.48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$2,346.10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$2,296.48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$2,314.85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$2,370.85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$2,339.11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$2,395.70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$2,326.13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$2,344.74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$2,363.50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$2,420.68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$2,368.98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$2,407.04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$2,445.71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$2,374.38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$2,470.88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$2,437.17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$2,496.14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$2,423.06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$2,521.55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$2,467.10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$2,506.73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$2,526.79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$2,547.00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$2,472.08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$2,552.14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$2,572.56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$2,516.78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$2,598.29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$2,562.10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$2,582.60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$2,603.26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$2,624.08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$2,546.47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$2,608.08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$2,649.97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$2,675.99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$2,596.55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$2,617.33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$2,702.09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$2,685.16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$2,706.64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$2,728.30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$2,647.01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$2,668.19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$2,689.53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$2,732.74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$2,754.60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$2,672.44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$2,781.06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$2,697.92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$2,719.50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$2,763.19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$2,785.30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$2,807.58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$2,745.30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$2,767.26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$2,834.21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$2,793.38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$2,860.96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$2,864.88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$2,887.80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$2,845.92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$2,914.77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$2,849.54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$2,895.31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$2,941.82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$2,898.83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$2,968.96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$2,902.25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$2,972.46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$2,996.24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$2,928.74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$3,023.60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$3,002.85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$3,026.87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$3,051.09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$2,958.44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$2,982.11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$3,078.68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$2,985.05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$3,106.38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$3,060.11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$3,084.60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$3,134.15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$3,062.89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$3,087.39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$3,112.09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$3,162.08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$3,090.02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$3,114.74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$3,190.10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$3,117.22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$3,167.29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$3,218.17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$3,144.57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$3,169.72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$3,246.41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$3,146.80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$3,197.35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$3,274.70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$3,174.15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$3,199.54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$3,225.14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$3,250.94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$3,276.95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$3,303.16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$3,227.17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$3,279.01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$3,331.68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$3,229.09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$3,360.33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$3,256.73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$3,389.10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$3,310.71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$3,417.93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$3,312.24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$3,392.37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$3,446.86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$3,340.18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$3,393.84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$3,448.36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$3,368.22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$3,395.17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$3,449.71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$3,477.31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$3,505.13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$3,396.37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$3,423.54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$3,450.92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$3,506.36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$3,534.41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$3,424.59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$3,563.78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$3,452.91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$3,536.45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$3,564.74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$3,593.26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$3,622.87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$3,509.91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$3,623.58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$3,652.57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$3,624.14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$3,682.36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$3,567.31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$3,653.61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$3,682.84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$3,596.09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$3,624.86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$3,653.86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$3,772.40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$3,654.14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$3,802.66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$3,772.39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$3,832.99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$3,712.56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$3,772.19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$3,802.37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$3,832.79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$3,863.45</w:t>
            </w:r>
          </w:p>
        </w:tc>
      </w:tr>
    </w:tbl>
    <w:p>
      <w:pPr>
        <w:pStyle w:val="85"/>
        <w:jc w:val="both"/>
        <w:rPr>
          <w:rFonts w:ascii="Verdana" w:hAnsi="Verdana"/>
          <w:sz w:val="20"/>
          <w:szCs w:val="20"/>
          <w:lang w:val="es-MX"/>
        </w:rPr>
      </w:pPr>
      <w:r>
        <w:rPr>
          <w:rFonts w:ascii="Verdana" w:hAnsi="Verdana"/>
          <w:sz w:val="20"/>
          <w:szCs w:val="20"/>
          <w:lang w:val="es-MX"/>
        </w:rPr>
        <w:br w:type="textWrapping"/>
      </w:r>
      <w:r>
        <w:rPr>
          <w:rFonts w:ascii="Verdana" w:hAnsi="Verdana"/>
          <w:sz w:val="20"/>
          <w:szCs w:val="20"/>
          <w:lang w:val="es-MX"/>
        </w:rPr>
        <w:t>En consumos mayores a 200 m³ se cobrará cada metro cúbico al precio siguiente y al importe que resulte se le sumará la cuota base.</w:t>
      </w:r>
    </w:p>
    <w:p>
      <w:pPr>
        <w:pStyle w:val="85"/>
        <w:jc w:val="both"/>
        <w:rPr>
          <w:rFonts w:ascii="Verdana" w:hAnsi="Verdana"/>
          <w:sz w:val="20"/>
          <w:szCs w:val="20"/>
          <w:lang w:val="es-MX"/>
        </w:rPr>
      </w:pPr>
    </w:p>
    <w:tbl>
      <w:tblPr>
        <w:tblStyle w:val="12"/>
        <w:tblW w:w="8909"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078"/>
        <w:gridCol w:w="1158"/>
        <w:gridCol w:w="1077"/>
        <w:gridCol w:w="1073"/>
        <w:gridCol w:w="1087"/>
        <w:gridCol w:w="1614"/>
        <w:gridCol w:w="18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Más de 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822"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Precio por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$19.11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$19.27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$19.42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$19.58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$19.73</w:t>
            </w:r>
          </w:p>
        </w:tc>
        <w:tc>
          <w:tcPr>
            <w:tcW w:w="1822"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$19.89</w:t>
            </w:r>
          </w:p>
        </w:tc>
      </w:tr>
    </w:tbl>
    <w:p>
      <w:pPr>
        <w:pStyle w:val="85"/>
        <w:jc w:val="both"/>
        <w:rPr>
          <w:rFonts w:ascii="Verdana" w:hAnsi="Verdana"/>
          <w:sz w:val="20"/>
          <w:szCs w:val="20"/>
        </w:rPr>
      </w:pPr>
    </w:p>
    <w:p>
      <w:pPr>
        <w:pStyle w:val="85"/>
        <w:jc w:val="both"/>
        <w:rPr>
          <w:rFonts w:ascii="Verdana" w:hAnsi="Verdana"/>
          <w:b/>
          <w:bCs/>
          <w:sz w:val="20"/>
          <w:szCs w:val="20"/>
          <w:lang w:val="es-MX"/>
        </w:rPr>
      </w:pPr>
      <w:r>
        <w:rPr>
          <w:rFonts w:ascii="Verdana" w:hAnsi="Verdana"/>
          <w:sz w:val="20"/>
          <w:szCs w:val="20"/>
          <w:lang w:val="es-MX"/>
        </w:rPr>
        <w:br w:type="textWrapping"/>
      </w:r>
      <w:r>
        <w:rPr>
          <w:rFonts w:ascii="Verdana" w:hAnsi="Verdana"/>
          <w:b/>
          <w:bCs/>
          <w:sz w:val="20"/>
          <w:szCs w:val="20"/>
          <w:lang w:val="es-MX"/>
        </w:rPr>
        <w:t xml:space="preserve">b) Uso comercial y de servicios: </w:t>
      </w:r>
    </w:p>
    <w:p>
      <w:pPr>
        <w:pStyle w:val="85"/>
        <w:jc w:val="both"/>
        <w:rPr>
          <w:rFonts w:ascii="Verdana" w:hAnsi="Verdana"/>
          <w:sz w:val="20"/>
          <w:szCs w:val="20"/>
          <w:lang w:val="es-MX"/>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380"/>
        <w:gridCol w:w="1130"/>
        <w:gridCol w:w="1106"/>
        <w:gridCol w:w="1105"/>
        <w:gridCol w:w="1110"/>
        <w:gridCol w:w="1449"/>
        <w:gridCol w:w="177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Comercial y de servicios</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771"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$197.17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$200.33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$201.94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$203.55</w:t>
            </w:r>
          </w:p>
        </w:tc>
        <w:tc>
          <w:tcPr>
            <w:tcW w:w="177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$205.18</w:t>
            </w:r>
          </w:p>
        </w:tc>
      </w:tr>
    </w:tbl>
    <w:p>
      <w:pPr>
        <w:pStyle w:val="85"/>
        <w:jc w:val="both"/>
        <w:rPr>
          <w:rFonts w:ascii="Verdana" w:hAnsi="Verdana"/>
          <w:sz w:val="20"/>
          <w:szCs w:val="20"/>
          <w:lang w:val="es-MX"/>
        </w:rPr>
      </w:pPr>
      <w:r>
        <w:rPr>
          <w:rFonts w:ascii="Verdana" w:hAnsi="Verdana"/>
          <w:sz w:val="20"/>
          <w:szCs w:val="20"/>
          <w:lang w:val="es-MX"/>
        </w:rPr>
        <w:t>A la cuota base se le sumará el importe de acuerdo al consumo del usuario conforme la siguiente tabla: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64"/>
        <w:gridCol w:w="1355"/>
        <w:gridCol w:w="1300"/>
        <w:gridCol w:w="1297"/>
        <w:gridCol w:w="1308"/>
        <w:gridCol w:w="1564"/>
        <w:gridCol w:w="1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$334.85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$367.34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$418.96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$486.15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$528.83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$552.09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$569.97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$589.63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$599.10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$608.72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$644.27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$649.42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$665.12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$670.44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$686.66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$692.16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$737.02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$750.19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$756.19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$762.24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$774.48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$784.60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$797.21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$787.88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$819.90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$836.09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$842.78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$838.40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$845.11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$865.56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$860.62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$867.51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$888.49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$897.34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$904.51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$911.75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$905.19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$919.73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$934.51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$950.03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$957.63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$949.97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$965.23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$988.10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$996.00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$1,003.97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$994.99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$1,002.95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$1,010.98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$1,019.06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$1,027.22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$1,025.71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$1,033.92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$1,042.19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$1,050.53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$1,073.90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$1,054.50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$1,088.65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$1,097.36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$1,085.71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$1,120.87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$1,126.59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$1,144.69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$1,122.96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$1,168.60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$1,155.18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$1,173.74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$1,192.59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$1,206.90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$1,216.56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$1,230.78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$1,240.62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$1,225.15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$1,264.82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$1,258.63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$1,278.85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$1,289.08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$1,262.08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$1,302.95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$1,313.37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$1,295.75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$1,306.11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$1,327.10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$1,337.71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$1,308.95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$1,329.97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$1,362.15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$1,364.72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$1,386.65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$1,356.11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$1,366.96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$1,400.03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$1,411.23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$1,379.76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$1,413.14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$1,435.84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$1,448.97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$1,460.57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$1,427.34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$1,438.76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$1,473.56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$1,485.35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$1,486.31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$1,498.20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$1,510.19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$1,475.14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$1,486.95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$1,498.84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$1,510.83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$1,535.10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$1,523.25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$1,560.10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$1,560.07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$1,585.13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$1,559.56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$1,597.29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$1,610.07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$1,583.83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$1,596.50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$1,635.12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$1,633.93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$1,660.17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$1,619.48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$1,632.44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$1,685.31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$1,670.08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$1,710.49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$1,667.96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$1,708.31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$1,735.75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$1,733.20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$1,761.04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$1,758.20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$1,772.27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$1,786.44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$1,769.12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$1,797.54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$1,811.92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$1,765.66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$1,794.02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$1,822.84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$1,837.43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$1,804.54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$1,818.98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$1,833.53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$1,848.20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$1,862.99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$1,888.66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$1,854.27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$1,869.10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$1,899.13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$1,914.32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$1,879.26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$1,894.29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$1,924.72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$1,940.12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$1,889.21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$1,904.33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$1,919.56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$1,991.89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$1,939.06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$1,954.57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$1,985.97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$2,017.87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$1,979.77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$2,043.89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$1,989.09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$2,069.94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$2,030.37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$2,096.12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$2,125.12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$2,159.26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$2,193.95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$2,185.82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$2,203.30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$2,220.93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$2,160.51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$2,195.22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$2,248.33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$2,203.77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$2,275.14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$2,284.10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$2,302.38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$2,238.65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$2,256.55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$2,329.64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$2,264.89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$2,283.01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$2,338.24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$2,356.95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$2,365.39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$2,384.31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$2,336.15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$2,411.81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$2,344.01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$2,419.92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$2,439.28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$2,447.31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$2,466.89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$2,435.58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$2,494.50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$2,462.65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$2,522.23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$2,489.76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$2,529.76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$2,549.99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$2,497.01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$2,537.12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$2,557.42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$2,577.88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$2,503.99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$2,524.02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$2,564.57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$2,605.76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$2,530.84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$2,592.07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$2,633.71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$2,598.88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$2,661.75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$2,584.77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$2,626.29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$2,668.48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$2,689.83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$2,653.83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$2,696.46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$2,718.03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$2,702.79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$2,724.41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$2,746.20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$2,708.97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$2,774.50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$2,714.97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$2,802.90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$2,720.69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$2,831.27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$2,748.08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$2,770.07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$2,814.57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$2,859.78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$2,797.73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$2,820.11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$2,865.41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$2,888.33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$2,825.46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$2,848.06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$2,870.84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$2,893.81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$2,916.96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$2,830.56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$2,853.21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$2,876.03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$2,945.61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$2,950.74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$2,974.34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$2,908.96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$2,955.69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$2,913.61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$2,960.41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$2,984.10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$3,032.03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$2,964.94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$3,012.56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$3,060.96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$3,017.01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$2,997.23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$3,069.74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$3,119.05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$3,098.40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$3,123.18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$3,148.17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$3,053.25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$3,127.11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$3,206.68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$3,109.54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$3,184.77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$3,210.25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$3,235.93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$3,188.22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$3,213.73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$3,239.44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$3,265.35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$3,166.12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$3,294.81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$3,324.28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$3,300.90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$3,353.92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$3,356.70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$3,383.56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$3,413.30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$3,443.05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$3,363.98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$3,472.92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$3,420.08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$3,502.82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$3,394.80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$3,532.79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$3,534.54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$3,562.82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$3,480.26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$3,508.10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$3,592.97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$3,623.11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$3,595.57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$3,624.33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$3,653.33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$3,568.15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$3,654.47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$3,597.48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$3,626.26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$3,655.27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$3,684.51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$3,713.99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$3,744.46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$3,774.96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$3,686.12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$3,805.50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$3,715.77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$3,805.66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$3,836.11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$3,805.68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$3,836.13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$3,866.82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$3,835.93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$3,897.55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$3,835.65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$3,928.45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$3,896.68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$3,927.86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$3,959.28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$3,865.07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$3,895.99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$3,927.16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$3,990.24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$3,864.20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$3,895.11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$3,926.27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$4,021.26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$4,052.33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$3,924.01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$4,083.50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$3,954.03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$3,985.66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$4,049.69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$4,082.09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$4,114.74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$3,984.07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$4,015.94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$4,048.07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$4,177.35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$4,044.36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$4,076.72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$4,175.34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$4,208.74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$4,074.60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$4,107.20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$4,173.18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$4,240.22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$4,137.76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$4,170.86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$4,237.86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$4,271.76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$4,135.27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$4,168.36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$4,303.35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$4,199.06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$4,232.65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$4,196.27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$4,366.83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$4,226.76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$4,260.57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$4,294.66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$4,329.01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$4,363.65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$4,398.55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$4,257.46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$4,395.34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$4,430.50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$4,288.10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$4,462.39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$4,318.83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$4,353.38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$4,494.37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$4,349.71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$4,384.51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$4,419.58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$4,454.94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$4,526.50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$4,380.56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$4,558.61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$4,446.77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$4,518.20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$4,590.78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$4,478.04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$4,513.86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$4,549.97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$4,586.37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$4,623.06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$4,545.41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$4,581.77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$4,618.43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$4,655.37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$4,504.69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$4,613.67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$4,650.58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$4,687.78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$4,608.74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$4,720.24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$4,567.13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$4,640.50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$4,677.62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$4,715.04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$4,752.76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$4,598.46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$4,672.33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$4,785.36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$4,629.85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$4,818.03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$4,698.53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$4,736.11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$4,774.00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$4,850.69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$4,692.74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$4,730.29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$4,768.13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$4,806.27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$4,844.72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$4,883.48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$4,724.36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$4,762.16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$4,800.26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$4,877.37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$4,916.39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$4,755.99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$4,794.04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$4,910.02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$4,949.30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$4,826.28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$4,864.89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$4,903.80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$4,943.04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$4,982.58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$4,936.03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$5,015.33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$4,890.05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$4,929.17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$4,968.61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$5,008.35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$5,048.42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$4,883.13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$4,922.19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$4,961.57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$5,001.26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$5,041.27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$5,081.60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$4,915.11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$4,994.07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$5,034.02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$5,114.89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$4,947.09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$4,986.67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$5,026.56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$5,066.77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$5,107.31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$5,148.17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$5,019.00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$5,059.16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$5,099.63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$5,140.43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$5,181.55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En consumos mayores a 200 m³ se cobrará cada metro cúbico al precio siguiente y al importe que resulte se le sumará la cuota base.</w:t>
      </w:r>
    </w:p>
    <w:p>
      <w:pPr>
        <w:pStyle w:val="85"/>
        <w:jc w:val="both"/>
        <w:rPr>
          <w:rFonts w:ascii="Verdana" w:hAnsi="Verdana"/>
          <w:sz w:val="20"/>
          <w:szCs w:val="20"/>
          <w:lang w:val="es-MX"/>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078"/>
        <w:gridCol w:w="1158"/>
        <w:gridCol w:w="1077"/>
        <w:gridCol w:w="1073"/>
        <w:gridCol w:w="1087"/>
        <w:gridCol w:w="1614"/>
        <w:gridCol w:w="19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Más de 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96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Precio por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$24.92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$25.12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$25.73</w:t>
            </w:r>
          </w:p>
        </w:tc>
        <w:tc>
          <w:tcPr>
            <w:tcW w:w="196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$25.93</w:t>
            </w:r>
          </w:p>
        </w:tc>
      </w:tr>
    </w:tbl>
    <w:p>
      <w:pPr>
        <w:pStyle w:val="85"/>
        <w:jc w:val="both"/>
        <w:rPr>
          <w:rFonts w:ascii="Verdana" w:hAnsi="Verdana"/>
          <w:sz w:val="20"/>
          <w:szCs w:val="20"/>
        </w:rPr>
      </w:pPr>
    </w:p>
    <w:p>
      <w:pPr>
        <w:pStyle w:val="85"/>
        <w:jc w:val="both"/>
        <w:rPr>
          <w:rFonts w:ascii="Verdana" w:hAnsi="Verdana"/>
          <w:sz w:val="20"/>
          <w:szCs w:val="20"/>
        </w:rPr>
      </w:pPr>
    </w:p>
    <w:p>
      <w:pPr>
        <w:pStyle w:val="85"/>
        <w:jc w:val="both"/>
        <w:rPr>
          <w:rFonts w:ascii="Verdana" w:hAnsi="Verdana"/>
          <w:sz w:val="20"/>
          <w:szCs w:val="20"/>
          <w:lang w:val="es-MX"/>
        </w:rPr>
      </w:pPr>
      <w:r>
        <w:rPr>
          <w:rFonts w:ascii="Verdana" w:hAnsi="Verdana"/>
          <w:sz w:val="20"/>
          <w:szCs w:val="20"/>
          <w:lang w:val="es-MX"/>
        </w:rPr>
        <w:t>Se entenderá por giro comercial y de servicios a todos los establecimientos dedicados al comercio o prestación de servicios al público.</w:t>
      </w:r>
    </w:p>
    <w:p>
      <w:pPr>
        <w:pStyle w:val="85"/>
        <w:jc w:val="both"/>
        <w:rPr>
          <w:rFonts w:ascii="Verdana" w:hAnsi="Verdana"/>
          <w:sz w:val="20"/>
          <w:szCs w:val="20"/>
        </w:rPr>
      </w:pPr>
    </w:p>
    <w:p>
      <w:pPr>
        <w:pStyle w:val="85"/>
        <w:jc w:val="both"/>
        <w:rPr>
          <w:rFonts w:ascii="Verdana" w:hAnsi="Verdana"/>
          <w:b/>
          <w:bCs/>
          <w:sz w:val="20"/>
          <w:szCs w:val="20"/>
        </w:rPr>
      </w:pPr>
      <w:r>
        <w:rPr>
          <w:rFonts w:ascii="Verdana" w:hAnsi="Verdana"/>
          <w:b/>
          <w:bCs/>
          <w:sz w:val="20"/>
          <w:szCs w:val="20"/>
        </w:rPr>
        <w:t>c) Uso industrial:</w:t>
      </w:r>
    </w:p>
    <w:p>
      <w:pPr>
        <w:pStyle w:val="85"/>
        <w:jc w:val="both"/>
        <w:rPr>
          <w:rFonts w:ascii="Verdana" w:hAnsi="Verdana"/>
          <w:sz w:val="20"/>
          <w:szCs w:val="20"/>
        </w:rPr>
      </w:pPr>
    </w:p>
    <w:tbl>
      <w:tblPr>
        <w:tblStyle w:val="12"/>
        <w:tblW w:w="8909"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28"/>
        <w:gridCol w:w="1163"/>
        <w:gridCol w:w="1125"/>
        <w:gridCol w:w="1123"/>
        <w:gridCol w:w="1130"/>
        <w:gridCol w:w="1500"/>
        <w:gridCol w:w="164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640"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$235.48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$237.36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$239.26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$243.10</w:t>
            </w:r>
          </w:p>
        </w:tc>
        <w:tc>
          <w:tcPr>
            <w:tcW w:w="164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$245.05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A la cuota base se le sumará el importe de acuerdo al consumo del usuario conforme la siguiente tabla:</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64"/>
        <w:gridCol w:w="1355"/>
        <w:gridCol w:w="1300"/>
        <w:gridCol w:w="1297"/>
        <w:gridCol w:w="1308"/>
        <w:gridCol w:w="1564"/>
        <w:gridCol w:w="1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$334.66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$354.79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$357.73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$360.60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$372.27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$418.31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$488.11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$505.72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$509.76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$513.84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$510.97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$523.33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$531.74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$536.66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$549.64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$567.64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$576.38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$585.64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$584.79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$603.73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$607.17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$621.86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$640.02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$632.51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$647.81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$658.22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$676.46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$678.32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$694.73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$685.25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$690.73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$713.10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$702.90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$719.91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$725.67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$731.47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$720.60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$726.36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$732.18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$738.03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$743.94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$749.89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$744.29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$750.24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$756.24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$768.39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$764.16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$776.43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$782.65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$788.91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$780.59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$793.12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$805.87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$812.31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$816.33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$836.08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$826.46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$839.73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$846.45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$860.05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$849.74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$870.30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$877.26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$884.28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$873.18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$894.31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$908.67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$904.03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$918.55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$925.90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$933.31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$958.15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$944.79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$959.96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$967.64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$983.19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$969.06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$984.63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$992.51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$1,008.45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$1,017.59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$1,033.93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$1,018.24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$1,026.38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$1,034.59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$1,059.62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$1,085.50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$1,093.48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$1,137.93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$1,136.97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$1,146.06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$1,155.23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$1,164.47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$1,191.17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$1,179.95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$1,189.39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$1,208.49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$1,218.16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$1,215.90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$1,225.62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$1,245.31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$1,222.98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$1,262.59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$1,272.69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$1,317.40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$1,327.94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$1,313.28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$1,334.38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$1,345.05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$1,355.81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$1,383.87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$1,412.15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$1,384.34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$1,440.61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$1,423.21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$1,434.60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$1,457.64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$1,439.69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$1,462.82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$1,498.21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$1,503.18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$1,527.33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$1,507.78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$1,556.61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$1,536.37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$1,573.54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$1,586.13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$1,565.19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$1,590.33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$1,603.05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$1,615.88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$1,594.18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$1,645.81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$1,610.50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$1,623.38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$1,636.37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$1,662.66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$1,675.96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$1,639.65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$1,665.99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$1,706.29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$1,682.37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$1,709.39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$1,736.85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$1,725.86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$1,753.59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$1,767.61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$1,728.33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$1,756.09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$1,770.14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$1,798.58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$1,829.81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$1,788.52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$1,802.83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$1,846.44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$1,861.21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$1,877.78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$1,892.80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$1,864.22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$1,879.13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$1,924.59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$1,925.68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$1,956.62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$1,926.45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$1,973.06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$1,988.84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$1,973.54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$1,989.50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$2,069.78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$2,119.85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$2,119.11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$2,136.06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$2,153.15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$2,118.23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$2,135.17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$2,152.25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$2,186.83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$2,133.56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$2,167.84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$2,185.18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$2,202.66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$2,220.28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$2,200.90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$2,218.51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$2,254.14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$2,216.52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$2,252.12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$2,270.14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$2,288.30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$2,232.14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$2,322.86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$2,265.06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$2,283.18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$2,338.42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$2,357.13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$2,298.45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$2,372.89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$2,391.87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$2,332.00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$2,388.41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$2,426.78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$2,384.71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$2,423.02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$2,461.95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$2,477.51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$2,497.33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$2,434.00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$2,512.82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$2,532.93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$2,468.37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$2,488.12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$2,508.02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$2,548.31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$2,568.70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$2,522.96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$2,543.14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$2,563.49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$2,584.00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$2,604.67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$2,599.10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$2,640.85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$2,614.03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$2,656.02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$2,677.27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$2,628.76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$2,713.89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$2,643.31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$2,685.77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$2,707.26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$2,750.75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$2,743.70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$2,765.65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$2,787.77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$2,714.71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$2,736.43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$2,758.32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$2,780.39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$2,750.71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$2,794.89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$2,862.51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$2,854.33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$2,877.16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$2,900.18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$2,845.91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$2,938.07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$2,905.87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$2,929.12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$2,976.17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$2,896.74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$2,919.91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$2,966.82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$3,014.48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$2,957.22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$3,004.73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$3,028.77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$3,053.00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$3,018.66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$3,067.15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$3,091.69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$3,008.37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$3,032.43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$3,130.64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$3,070.34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$3,169.78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$3,083.79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$3,108.46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$3,133.32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$3,209.13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$3,146.78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$3,197.33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$3,222.90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$3,248.69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$3,236.49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$3,262.38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$3,288.48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$3,324.28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$3,300.90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$3,353.92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$3,356.70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$3,383.56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$3,413.30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$3,443.05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$3,363.98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$3,472.92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$3,420.08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$3,502.82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$3,394.80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$3,532.79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$3,534.54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$3,562.82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$3,480.26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$3,508.10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$3,592.97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$3,623.11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$3,595.57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$3,624.33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$3,653.33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$3,568.15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$3,654.47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$3,597.48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$3,626.26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$3,655.27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$3,684.51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$3,713.99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$3,656.01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$3,744.46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$3,774.96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$3,703.02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$3,792.60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$3,853.53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$3,803.61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$3,834.04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$3,864.71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$3,895.63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$3,784.13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$3,814.40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$3,844.92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$3,875.68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$3,906.68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$3,937.94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$3,886.44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$3,917.54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$3,948.88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$3,980.47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$4,023.20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$3,907.28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$3,938.54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$3,970.05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$4,066.10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$3,948.74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$3,980.33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$4,044.27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$4,076.62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$4,109.23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$4,022.28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$4,119.58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$4,152.54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$4,064.47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$4,096.99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$4,129.76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$4,196.10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$4,206.20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$4,239.85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$4,116.50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$4,149.43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$4,182.62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$4,249.81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$4,283.81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$4,225.75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$4,327.98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$4,269.08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$4,303.23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$4,337.66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$4,372.36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$4,244.38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$4,278.34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$4,312.56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$4,416.90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$4,426.26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$4,461.67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$4,435.40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$4,506.65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$4,374.04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$4,409.03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$4,479.85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$4,515.69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$4,551.82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$4,597.21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$4,497.16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$4,533.14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$4,642.81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$4,505.46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$4,577.84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$4,614.46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$4,651.38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$4,688.59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$4,586.10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$4,622.79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$4,659.77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$4,697.05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$4,734.62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$4,630.83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$4,667.88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$4,705.22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$4,780.81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$4,675.80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$4,713.21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$4,750.92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$4,827.24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$4,683.50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$4,720.97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$4,758.74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$4,796.81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$4,835.18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$4,873.87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$4,728.50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$4,766.32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$4,804.45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$4,842.89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$4,881.63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$4,920.69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$4,773.91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$4,812.10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$4,850.59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$4,889.40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$4,928.51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$4,967.94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$4,819.06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$4,896.47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$4,935.65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$4,975.13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$5,014.93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$4,864.68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$4,903.59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$4,942.82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$4,982.36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$5,022.22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$5,062.40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$4,949.77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$4,989.37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$5,029.28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$5,069.52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$5,110.07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$4,956.48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$4,996.13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$5,117.00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$5,157.93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$5,002.66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$5,042.68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$5,083.02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$5,123.69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$5,164.68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$5,049.05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$5,089.44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$5,130.16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$5,171.20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$5,212.57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$5,254.27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$5,095.64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$5,136.41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$5,177.50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$5,218.92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$5,260.67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$5,302.76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$5,142.41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$5,183.55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$5,225.02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$5,266.82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$5,308.95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$5,351.43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$5,189.38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$5,230.90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$5,272.74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$5,314.93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$5,357.45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$5,400.31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$5,236.58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$5,278.47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$5,320.70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$5,363.26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$5,406.17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$5,449.42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$5,283.96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$5,326.23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$5,368.84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$5,411.79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$5,455.08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$5,498.72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$5,374.17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$5,417.17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$5,460.50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$5,548.22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$5,379.31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$5,422.34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$5,465.72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$5,553.52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$5,597.95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$5,427.30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$5,470.72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$5,514.48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$5,558.60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$5,603.07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$5,647.89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$5,475.43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$5,519.23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$5,563.39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$5,607.90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$5,652.76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$5,697.98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$5,523.82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$5,568.01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$5,612.55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$5,657.46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$5,702.71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$5,748.34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$5,572.40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$5,616.98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$5,661.92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$5,707.21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$5,752.87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$5,798.89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$5,621.19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$5,666.16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$5,711.49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$5,757.18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$5,803.24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$5,849.66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$5,670.13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$5,715.49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$5,761.21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$5,853.76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$5,900.59</w:t>
            </w:r>
          </w:p>
        </w:tc>
      </w:tr>
    </w:tbl>
    <w:p>
      <w:pPr>
        <w:pStyle w:val="85"/>
        <w:jc w:val="both"/>
        <w:rPr>
          <w:rFonts w:ascii="Verdana" w:hAnsi="Verdana"/>
          <w:sz w:val="20"/>
          <w:szCs w:val="20"/>
        </w:rPr>
      </w:pPr>
    </w:p>
    <w:p>
      <w:pPr>
        <w:pStyle w:val="85"/>
        <w:ind w:firstLine="708"/>
        <w:jc w:val="both"/>
        <w:rPr>
          <w:rFonts w:ascii="Verdana" w:hAnsi="Verdana"/>
          <w:sz w:val="20"/>
          <w:szCs w:val="20"/>
          <w:lang w:val="es-MX"/>
        </w:rPr>
      </w:pPr>
      <w:r>
        <w:rPr>
          <w:rFonts w:ascii="Verdana" w:hAnsi="Verdana"/>
          <w:sz w:val="20"/>
          <w:szCs w:val="20"/>
          <w:lang w:val="es-MX"/>
        </w:rPr>
        <w:t>En consumos mayores a 200 m³ se cobrará cada metro cúbico al precio siguiente y al importe que resulte se le sumará la cuota base.</w:t>
      </w:r>
    </w:p>
    <w:p>
      <w:pPr>
        <w:pStyle w:val="85"/>
        <w:jc w:val="both"/>
        <w:rPr>
          <w:rFonts w:ascii="Verdana" w:hAnsi="Verdana"/>
          <w:sz w:val="20"/>
          <w:szCs w:val="20"/>
          <w:lang w:val="es-MX"/>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078"/>
        <w:gridCol w:w="1158"/>
        <w:gridCol w:w="1077"/>
        <w:gridCol w:w="1073"/>
        <w:gridCol w:w="1087"/>
        <w:gridCol w:w="1614"/>
        <w:gridCol w:w="19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Más de 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96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Precio por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$30.53</w:t>
            </w:r>
          </w:p>
        </w:tc>
        <w:tc>
          <w:tcPr>
            <w:tcW w:w="196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$30.77</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Fonts w:ascii="Verdana" w:hAnsi="Verdana"/>
          <w:sz w:val="20"/>
          <w:szCs w:val="20"/>
          <w:lang w:val="es-MX"/>
        </w:rPr>
        <w:t>Se entenderá por giro industrial a todos los establecimientos que requieran o desarrollen cualquier proceso de transformación de productos manufacturados (o necesiten grandes cantidades de agua para la prestación de su servicio al público).</w:t>
      </w:r>
    </w:p>
    <w:p>
      <w:pPr>
        <w:pStyle w:val="85"/>
        <w:jc w:val="both"/>
        <w:rPr>
          <w:rFonts w:ascii="Verdana" w:hAnsi="Verdana"/>
          <w:sz w:val="20"/>
          <w:szCs w:val="20"/>
        </w:rPr>
      </w:pPr>
    </w:p>
    <w:p>
      <w:pPr>
        <w:pStyle w:val="85"/>
        <w:jc w:val="both"/>
        <w:rPr>
          <w:rFonts w:ascii="Verdana" w:hAnsi="Verdana"/>
          <w:b/>
          <w:bCs/>
          <w:sz w:val="20"/>
          <w:szCs w:val="20"/>
        </w:rPr>
      </w:pPr>
      <w:r>
        <w:rPr>
          <w:rFonts w:ascii="Verdana" w:hAnsi="Verdana"/>
          <w:b/>
          <w:bCs/>
          <w:sz w:val="20"/>
          <w:szCs w:val="20"/>
        </w:rPr>
        <w:t>d) Uso mixto:</w:t>
      </w:r>
    </w:p>
    <w:p>
      <w:pPr>
        <w:pStyle w:val="85"/>
        <w:jc w:val="both"/>
        <w:rPr>
          <w:rFonts w:ascii="Verdana" w:hAnsi="Verdana"/>
          <w:sz w:val="20"/>
          <w:szCs w:val="20"/>
        </w:rPr>
      </w:pPr>
    </w:p>
    <w:tbl>
      <w:tblPr>
        <w:tblStyle w:val="12"/>
        <w:tblW w:w="9134"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951"/>
        <w:gridCol w:w="1199"/>
        <w:gridCol w:w="1146"/>
        <w:gridCol w:w="1142"/>
        <w:gridCol w:w="1153"/>
        <w:gridCol w:w="1557"/>
        <w:gridCol w:w="198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Mixto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986"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c>
          <w:tcPr>
            <w:tcW w:w="1986"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A la cuota base se le sumará el importe de acuerdo al consumo del usuario conforme la siguiente tabla: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64"/>
        <w:gridCol w:w="1355"/>
        <w:gridCol w:w="1300"/>
        <w:gridCol w:w="1297"/>
        <w:gridCol w:w="1308"/>
        <w:gridCol w:w="1564"/>
        <w:gridCol w:w="1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$223.48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$237.12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$244.80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$463.23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$515.85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$513.87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$522.12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$530.51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$534.75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$536.23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$540.52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$553.59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$572.68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$577.81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$591.78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$587.16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$596.60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$606.18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$611.03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$605.74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$620.39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$625.35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$630.36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$644.64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$649.79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$648.37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$669.37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$662.11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$678.13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$689.02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$686.52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$717.14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$728.66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$725.10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$730.90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$748.58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$738.93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$768.96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$758.02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$776.36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$788.83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$777.50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$796.30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$809.10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$797.06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$829.46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$816.78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$823.31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$843.23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$849.97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$870.58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$869.26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$890.29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$874.86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$888.92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$896.03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$903.20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$910.42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$908.58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$923.17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$930.56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$920.98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$935.78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$950.81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$933.16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$940.62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$948.15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$963.38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$971.09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$952.82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$968.13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$975.87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$983.68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$991.55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$988.08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$1,003.95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$1,011.98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$1,008.15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$1,032.54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$1,012.08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$1,028.34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$1,044.86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$1,053.22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$1,048.55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$1,073.92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$1,086.06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$1,094.75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$1,072.07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$1,106.79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$1,115.65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$1,092.23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$1,109.77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$1,118.65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$1,136.62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$1,112.77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$1,139.69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$1,158.00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$1,178.79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$1,152.06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$1,170.57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$1,198.89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$1,180.82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$1,209.39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$1,219.06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$1,190.85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$1,239.25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$1,219.96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$1,229.72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$1,239.56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$1,239.65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$1,269.64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$1,279.80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$1,278.82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$1,320.23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$1,298.51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$1,340.57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$1,307.77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$1,318.23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$1,360.93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$1,327.39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$1,359.50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$1,381.34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$1,347.02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$1,401.77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$1,422.30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$1,397.62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$1,408.80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$1,420.07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$1,442.88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$1,440.31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$1,463.44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$1,484.08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$1,446.00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$1,492.83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$1,504.78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$1,465.94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$1,525.53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$1,485.92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$1,534.04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$1,546.31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$1,542.39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$1,554.73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$1,567.17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$1,550.47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$1,587.98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$1,583.57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$1,596.24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$1,609.01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$1,630.01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$1,637.92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$1,651.02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$1,645.70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$1,658.87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$1,672.14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$1,627.13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$1,666.50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$1,693.27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$1,727.77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$1,755.53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$1,769.57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$1,783.73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$1,735.93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$1,749.82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$1,763.81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$1,777.92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$1,806.48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$1,757.75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$1,785.98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$1,814.67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$1,829.19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$1,845.25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$1,860.02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$1,874.90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$1,852.96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$1,882.73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$1,897.79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$1,845.80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$1,860.57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$1,905.58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$1,920.83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$1,913.17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$1,928.47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$1,943.90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$1,935.94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$1,967.04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$1,927.82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$1,943.24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$1,958.79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$1,974.46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$1,990.26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$1,934.87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$1,965.95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$2,013.51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$2,004.63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$2,020.67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$2,036.83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$1,979.72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$1,995.56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$2,043.83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$2,060.18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$2,067.11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$2,083.64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$2,073.91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$2,090.50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$2,107.23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$2,047.56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$2,063.94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$2,113.87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$2,130.78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$2,070.29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$2,137.34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$2,154.44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$2,093.07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$2,109.82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$2,160.86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$2,178.14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$2,115.90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$2,132.83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$2,149.89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$2,201.90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$2,155.89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$2,190.52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$2,208.04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$2,225.71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$2,490.91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$2,510.84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$2,514.97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$2,535.09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$2,555.37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$2,575.82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$2,596.42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$2,518.90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$2,621.28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$2,542.85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$2,563.19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$2,583.70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$2,646.20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$2,566.79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$2,608.02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$2,628.89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$2,649.92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$2,671.12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$2,653.49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$2,674.72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$2,696.11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$2,635.75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$2,699.52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$2,721.11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$2,702.74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$2,746.16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$2,684.29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$2,771.22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$2,687.12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$2,708.62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$2,774.14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$2,796.34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$2,711.34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$2,821.55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$2,735.52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$2,757.40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$2,824.11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$2,846.70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$2,760.05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$2,872.23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$2,784.01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$2,806.28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$2,828.73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$2,897.16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$2,808.33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$2,830.79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$2,876.27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$2,899.28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$2,922.47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$2,878.14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$2,947.76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$2,857.05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$2,879.91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$2,902.95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$2,949.58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$2,973.18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$2,904.50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$2,927.74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$2,974.77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$2,998.57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$2,929.13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$2,952.56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$2,976.18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$2,999.99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$3,023.99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$2,930.34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$2,953.78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$3,025.24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$3,049.44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$2,978.48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$3,050.53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$3,074.94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$3,003.17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$3,027.20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$3,075.83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$3,100.43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$3,003.94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$3,126.04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$3,028.53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$3,126.62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$3,151.63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$3,053.16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$3,127.02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$3,202.93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$3,102.55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$3,127.37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$3,228.66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$3,127.28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$3,228.56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$3,254.39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$3,152.03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$3,280.15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$3,176.89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$3,202.31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$3,227.93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$3,279.78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$3,306.02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$3,201.69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$3,253.12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$3,279.15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$3,331.82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$3,226.56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$3,252.37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$3,357.70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$3,251.45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$3,303.69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$3,330.11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$3,356.76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$3,383.61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$3,276.41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$3,302.62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$3,329.05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$3,355.68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$3,327.77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$3,435.55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$3,326.40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$3,353.01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$3,434.13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$3,461.61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$3,351.44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$3,378.26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$3,459.98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$3,487.66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$3,376.51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$3,458.19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$3,485.86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$3,513.74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$3,456.24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$3,539.86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$3,426.78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$3,454.20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$3,537.76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$3,566.06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$3,507.35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$3,563.69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$3,592.20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$3,477.14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$3,504.96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$3,561.26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$3,618.47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$3,502.33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$3,530.35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$3,558.59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$3,587.06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$3,644.69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$3,527.63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$3,612.97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$3,671.01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$3,638.89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$3,668.00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$3,697.34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$3,578.28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$3,606.91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$3,664.85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$3,694.17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$3,723.72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$3,603.67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$3,632.50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$3,661.56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$3,690.85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$3,720.38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$3,750.14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$3,629.08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$3,658.11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$3,716.87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$3,776.58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$3,654.52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$3,713.22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$3,742.93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$3,772.87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$3,803.06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$3,680.01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$3,739.12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$3,799.19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$3,829.58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$3,735.13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$3,795.13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$3,856.10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$3,790.97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$3,882.69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$3,756.63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$3,786.68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$3,816.98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$3,847.51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$3,878.29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$3,909.32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$3,782.22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$3,812.48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$3,842.98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$3,873.72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$3,904.71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$3,935.95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$3,807.84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$3,838.31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$3,869.01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$3,899.96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$3,931.16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$3,962.61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$3,833.57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$3,864.24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$3,895.15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$3,926.31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$3,989.38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$3,890.15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$3,921.27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$3,952.64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$4,016.13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$3,885.01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$3,916.09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$3,947.42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$4,010.83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$4,042.91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$3,942.04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$3,973.57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$4,069.70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$3,936.57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$3,968.06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$3,999.80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$4,064.06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$4,096.57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$3,962.42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$3,994.12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$4,026.08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$4,058.29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$4,123.48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$3,988.32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$4,020.23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$4,052.39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$4,084.81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$4,117.49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$4,150.43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$4,046.32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$4,144.21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$4,177.37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$4,040.17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$4,105.07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$4,137.91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$4,204.38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$4,066.16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$4,164.53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$4,231.43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$4,124.94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$4,224.73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$4,258.53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$4,118.23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$4,184.38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$4,217.86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$4,285.62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$4,144.30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$4,177.46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$4,210.87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$4,244.56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$4,278.52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$4,312.75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$4,170.42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$4,203.79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$4,237.42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$4,271.32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$4,339.93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$4,230.13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$4,263.97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$4,298.08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$4,367.12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$4,359.51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$4,394.38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$4,248.98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$4,282.98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$4,317.24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$4,386.59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$4,421.68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$4,275.21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$4,343.88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$4,301.48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$4,335.89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$4,370.58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$4,405.55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$4,440.79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$4,476.32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$4,327.86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$4,362.48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$4,397.38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$4,432.56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$4,468.02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$4,503.77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$4,424.13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$4,531.16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$4,415.60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$4,450.92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$4,522.42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$4,558.60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$4,477.80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$4,513.62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$4,549.73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$4,586.13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$4,433.43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$4,468.90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$4,504.65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$4,540.69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$4,577.01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$4,613.63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$4,567.83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$4,604.37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$4,641.20</w:t>
            </w:r>
          </w:p>
        </w:tc>
      </w:tr>
    </w:tbl>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En consumos mayores a 200 m³ se cobrará cada metro cúbico al precio siguiente y al importe que resulte se le sumará la cuota base.</w:t>
      </w:r>
    </w:p>
    <w:p>
      <w:pPr>
        <w:pStyle w:val="85"/>
        <w:jc w:val="both"/>
        <w:rPr>
          <w:rFonts w:ascii="Verdana" w:hAnsi="Verdana"/>
          <w:sz w:val="20"/>
          <w:szCs w:val="20"/>
          <w:lang w:val="es-MX"/>
        </w:rPr>
      </w:pPr>
    </w:p>
    <w:tbl>
      <w:tblPr>
        <w:tblStyle w:val="12"/>
        <w:tblW w:w="9051"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078"/>
        <w:gridCol w:w="1158"/>
        <w:gridCol w:w="1077"/>
        <w:gridCol w:w="1073"/>
        <w:gridCol w:w="1087"/>
        <w:gridCol w:w="1614"/>
        <w:gridCol w:w="19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Más de 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96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Precio por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$22.88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$23.25</w:t>
            </w:r>
          </w:p>
        </w:tc>
        <w:tc>
          <w:tcPr>
            <w:tcW w:w="196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$23.44</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Se entenderá por uso mixto a los usuarios con uso doméstico que tengan anexo un comercio básico cuyo uso sea única y exclusivamente para fines de limpieza.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Cuando el comercio anexo también use el agua para algún proceso propio de acuerdo a su actividad mercantil, tendrá que realizar un contrato comercial para dicha toma, quedando el contrato doméstico exclusivamente para la vivienda.</w:t>
      </w:r>
    </w:p>
    <w:p>
      <w:pPr>
        <w:pStyle w:val="85"/>
        <w:jc w:val="both"/>
        <w:rPr>
          <w:rFonts w:ascii="Verdana" w:hAnsi="Verdana"/>
          <w:sz w:val="20"/>
          <w:szCs w:val="20"/>
        </w:rPr>
      </w:pPr>
    </w:p>
    <w:p>
      <w:pPr>
        <w:pStyle w:val="85"/>
        <w:jc w:val="both"/>
        <w:rPr>
          <w:rFonts w:ascii="Verdana" w:hAnsi="Verdana"/>
          <w:sz w:val="20"/>
          <w:szCs w:val="20"/>
        </w:rPr>
      </w:pPr>
      <w:r>
        <w:rPr>
          <w:rFonts w:ascii="Verdana" w:hAnsi="Verdana"/>
          <w:sz w:val="20"/>
          <w:szCs w:val="20"/>
        </w:rPr>
        <w:t>e) Servicio público:</w:t>
      </w:r>
    </w:p>
    <w:p>
      <w:pPr>
        <w:pStyle w:val="85"/>
        <w:jc w:val="both"/>
        <w:rPr>
          <w:rFonts w:ascii="Verdana" w:hAnsi="Verdana"/>
          <w:sz w:val="20"/>
          <w:szCs w:val="20"/>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32"/>
        <w:gridCol w:w="1158"/>
        <w:gridCol w:w="1122"/>
        <w:gridCol w:w="1120"/>
        <w:gridCol w:w="1127"/>
        <w:gridCol w:w="1493"/>
        <w:gridCol w:w="179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799"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c>
          <w:tcPr>
            <w:tcW w:w="179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$210.09</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La cuota base da derecho a consumir hasta 20 m</w:t>
      </w:r>
      <w:r>
        <w:rPr>
          <w:rFonts w:ascii="Verdana" w:hAnsi="Verdana"/>
          <w:sz w:val="20"/>
          <w:szCs w:val="20"/>
          <w:vertAlign w:val="superscript"/>
          <w:lang w:val="es-MX"/>
        </w:rPr>
        <w:t xml:space="preserve">3 </w:t>
      </w:r>
      <w:r>
        <w:rPr>
          <w:rFonts w:ascii="Verdana" w:hAnsi="Verdana"/>
          <w:sz w:val="20"/>
          <w:szCs w:val="20"/>
          <w:lang w:val="es-MX"/>
        </w:rPr>
        <w:t>bimestrales por concepto de operación y mantenimiento de infraestructura del organismo operador.</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En consumos mayores a 20 m</w:t>
      </w:r>
      <w:r>
        <w:rPr>
          <w:rFonts w:ascii="Verdana" w:hAnsi="Verdana"/>
          <w:sz w:val="20"/>
          <w:szCs w:val="20"/>
          <w:vertAlign w:val="superscript"/>
          <w:lang w:val="es-MX"/>
        </w:rPr>
        <w:t>3</w:t>
      </w:r>
      <w:r>
        <w:rPr>
          <w:rFonts w:ascii="Verdana" w:hAnsi="Verdana"/>
          <w:sz w:val="20"/>
          <w:szCs w:val="20"/>
          <w:lang w:val="es-MX"/>
        </w:rPr>
        <w:t xml:space="preserve"> se cobrará cada metro cúbico al precio siguiente:</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381"/>
        <w:gridCol w:w="1265"/>
        <w:gridCol w:w="1148"/>
        <w:gridCol w:w="1142"/>
        <w:gridCol w:w="1163"/>
        <w:gridCol w:w="1751"/>
        <w:gridCol w:w="179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Más de 20 m</w:t>
            </w:r>
            <w:r>
              <w:rPr>
                <w:rFonts w:ascii="Verdana" w:hAnsi="Verdana"/>
                <w:sz w:val="20"/>
                <w:szCs w:val="20"/>
                <w:vertAlign w:val="superscript"/>
              </w:rPr>
              <w:t>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$12.53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$12.63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$12.73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$12.83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$12.93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$13.03</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La tarifa de servicio público es aplicable para todas las dependencias municipales, estatales y federales que prestan algún servicio, trámite o de atención ciudadana.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 cuota base prevista en los incisos a, b, c, d, e y f de esta fracción, se cobrará independientemente de que los usuarios consuman o no agua potable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Las instituciones educativas públicas tendrán una asignación mensual gratuita de agua potable en relación a los alumnos que tengan inscritos por turno y de acuerdo a su nivel educativo, conforme a la tabla siguiente:</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997"/>
        <w:gridCol w:w="1275"/>
        <w:gridCol w:w="2093"/>
        <w:gridCol w:w="227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Nivel escolar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Preescolar</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Primaria y secundaria</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Media superior y superior</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Asignación mensual en m³ por alumno por turno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0.44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0.55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0.66 m³</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Cuando sus consumos mensuales sean mayores que la asignación volumétrica gratuita, se les cobrará cada metro cúbico de acuerdo a la tabla contenida en este inciso.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Las estancias infantiles recibirán una asignación gratuita de 25 litros de agua potable diarios por usuario y personal administrativo por turno. El consumo excedente a dicha asignación, se pagará conforme a las cuotas de la tarifa para servicio público contenidas en el presente inciso.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shd w:val="clear" w:color="auto" w:fill="FFFFFF"/>
          <w:lang w:val="es-MX"/>
        </w:rPr>
        <w:t>f)</w:t>
      </w:r>
      <w:r>
        <w:rPr>
          <w:rFonts w:ascii="Verdana" w:hAnsi="Verdana"/>
          <w:sz w:val="20"/>
          <w:szCs w:val="20"/>
          <w:lang w:val="es-MX"/>
        </w:rPr>
        <w:t xml:space="preserve"> Tarifa doméstica para la comunidad de Cepio:</w:t>
      </w:r>
    </w:p>
    <w:p>
      <w:pPr>
        <w:pStyle w:val="85"/>
        <w:jc w:val="both"/>
        <w:rPr>
          <w:rFonts w:ascii="Verdana" w:hAnsi="Verdana"/>
          <w:sz w:val="20"/>
          <w:szCs w:val="20"/>
          <w:lang w:val="es-MX"/>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547"/>
        <w:gridCol w:w="1084"/>
        <w:gridCol w:w="1028"/>
        <w:gridCol w:w="1025"/>
        <w:gridCol w:w="1034"/>
        <w:gridCol w:w="1518"/>
        <w:gridCol w:w="181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Comunidad de Cepio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1814" w:type="dxa"/>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Cuota base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$84.18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$84.85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$85.53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$86.22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$86.91</w:t>
            </w:r>
          </w:p>
        </w:tc>
        <w:tc>
          <w:tcPr>
            <w:tcW w:w="181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$87.60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A la cuota base se le sumará el importe de acuerdo al consumo del usuario conforme la siguiente tabla: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264"/>
        <w:gridCol w:w="1355"/>
        <w:gridCol w:w="1300"/>
        <w:gridCol w:w="1297"/>
        <w:gridCol w:w="1308"/>
        <w:gridCol w:w="1564"/>
        <w:gridCol w:w="15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Consumo m³</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$0.83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$203.41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$208.68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$213.81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$220.74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$225.87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$227.68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$229.50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$231.33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$230.91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$232.75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$240.29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$239.55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$243.40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$245.34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$249.28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$248.30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$254.31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$258.39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$257.14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$259.20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$263.36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$265.47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$267.59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$266.05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$268.17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$274.66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$276.86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$275.05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$277.25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$279.47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$283.96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$288.69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$293.26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$297.97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$305.18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$304.91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$307.35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$309.81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$314.32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$319.37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$324.50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$323.80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$329.00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$334.28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$333.35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$336.02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$338.70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$344.15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$345.75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$348.51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$354.11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$349.92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$355.54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$358.64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$367.54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$382.48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$376.42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$379.43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$388.61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$388.50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$401.08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$394.42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$397.58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$400.76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$407.20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$410.46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$406.74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$409.99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$413.27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$415.94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$419.27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$422.62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$426.00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$429.41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$425.20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$428.60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$438.00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$445.03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$448.59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$443.88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$447.43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$458.25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$449.70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$453.30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$467.98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$459.11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$462.79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$466.49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$473.98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$477.77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$468.55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$472.30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$476.07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$479.88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$483.72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$478.03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$485.71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$497.46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$487.60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$499.93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$503.93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$507.96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$504.32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$508.35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$524.82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$516.83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$520.96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$525.13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$529.33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$533.56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$525.33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$529.53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$538.04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$542.34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$529.58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$533.82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$538.09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$551.11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$537.98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$542.28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$555.40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$546.39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$550.76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$555.17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$559.27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$568.25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$572.80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$577.38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$563.31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$567.81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$572.35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$576.93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$586.20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$576.34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$590.28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$584.87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$589.55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$603.81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$588.72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$593.43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$602.97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$607.79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$612.65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$597.27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$602.05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$606.87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$616.61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$621.55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$605.81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$610.66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$615.54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$630.43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$614.39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$619.30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$629.25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$634.28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$639.36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$622.92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$627.91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$632.93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$637.99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$648.24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$636.56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$646.79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$657.18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$640.16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$645.28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$650.45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$655.65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$660.89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$666.18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$648.78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$653.97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$669.79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$675.15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$657.42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$662.68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$673.33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$684.14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$666.12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$682.24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$687.69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$693.20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$674.78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$685.62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$696.63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$702.21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$688.94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$700.01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$705.61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$711.25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$692.20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$697.74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$708.95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$720.34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$706.54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$712.19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$717.89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$729.42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$746.25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$752.22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$758.24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$764.31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$770.42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$776.58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$756.23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$762.28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$774.52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$786.96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$766.25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$772.38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$778.56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$784.79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$797.40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$776.31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$795.09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$807.87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$786.39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$792.68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$799.02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$805.41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$818.35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$796.52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$802.89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$815.79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$822.31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$828.89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$806.66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$813.11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$819.61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$826.17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$832.78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$839.44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$816.84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$823.37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$829.96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$836.60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$850.04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$827.10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$833.71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$840.38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$847.11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$853.88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$860.72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$837.32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$844.02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$850.77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$857.57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$871.35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$847.62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$868.13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$875.07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$882.07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$857.94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$864.81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$878.70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$885.73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$892.81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$868.32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$896.44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$903.61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$878.73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$885.76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$892.85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$899.99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$907.19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$914.45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$889.13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$896.25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$903.42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$917.93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$925.27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$899.60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$906.80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$928.73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$936.16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$910.13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$917.41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$924.75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$932.14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$947.12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$920.64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$928.01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$942.91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$950.46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$958.06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$938.67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$946.18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$953.75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$969.07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$949.36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$956.96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$964.61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$972.33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$980.60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$988.44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$996.35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$1,004.32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$1,020.45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$992.87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$1,000.81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$1,008.82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$1,033.22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$1,005.17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$1,013.21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$1,029.49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$1,037.72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$1,046.02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$1,017.53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$1,025.67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$1,033.88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$1,042.15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$1,050.49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$1,058.89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$1,029.97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$1,038.21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$1,046.51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$1,054.88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$1,063.32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$1,071.83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$1,042.45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$1,050.79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$1,059.20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$1,067.67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$1,084.82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$1,055.02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$1,063.46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$1,080.54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$1,089.18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$1,097.90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$1,067.63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$1,076.18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$1,093.46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$1,111.03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$1,080.27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$1,088.91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$1,097.63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$1,106.41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$1,124.18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$1,092.99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$1,110.55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$1,119.43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$1,128.39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$1,137.42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$1,105.77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$1,114.62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$1,123.53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$1,132.52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$1,150.72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$1,118.60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$1,127.55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$1,136.57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$1,145.67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$1,154.83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$1,164.07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$1,131.51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$1,140.56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$1,149.68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$1,158.88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$1,168.15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$1,177.50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$1,144.43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$1,153.59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$1,162.81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$1,172.12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$1,190.95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$1,157.45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$1,166.70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$1,176.04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$1,194.93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$1,204.49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$1,170.51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$1,179.88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$1,189.31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$1,198.83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$1,208.42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$1,218.09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$1,183.63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$1,193.10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$1,212.26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$1,231.74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$1,196.83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$1,206.40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$1,216.05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$1,225.78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$1,245.47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$1,210.03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$1,219.71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$1,229.46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$1,239.30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$1,249.21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$1,259.21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$1,223.35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$1,243.00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$1,252.94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$1,262.97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$1,273.07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$1,236.67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$1,246.56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$1,256.53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$1,266.59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$1,276.72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$1,286.93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$1,250.09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$1,260.09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$1,280.33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$1,290.58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$1,263.56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$1,273.66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$1,283.85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$1,294.12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$1,304.48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$1,314.91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$1,277.08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$1,287.30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$1,297.60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$1,318.44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$1,328.99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$1,290.67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$1,300.99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$1,311.40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$1,332.47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$1,343.13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$1,304.30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$1,314.74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$1,325.26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$1,335.86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$1,346.55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$1,357.32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$1,318.01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$1,328.56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$1,339.19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$1,360.70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$1,371.58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$1,331.77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$1,342.43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$1,353.17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$1,363.99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$1,385.90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$1,345.56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$1,356.33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$1,367.18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$1,378.12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$1,389.14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$1,400.25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$1,359.45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$1,370.32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$1,392.33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$1,403.47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$1,414.70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$1,373.36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$1,395.42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$1,406.58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$1,417.84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$1,429.18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$1,387.36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$1,398.46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$1,409.65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$1,420.93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$1,432.29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$1,443.75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$1,401.39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$1,412.60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$1,435.29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$1,446.77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$1,458.35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$1,415.48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$1,426.81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$1,438.22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$1,449.73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$1,473.02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$1,429.66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$1,441.10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$1,452.63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$1,464.25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$1,475.96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$1,487.77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$1,443.89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$1,467.09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$1,478.82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$1,490.65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$1,502.58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$1,458.16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$1,469.83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$1,505.39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$1,517.43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$1,472.48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$1,484.26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$1,496.14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$1,508.11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$1,520.17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$1,532.33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$1,486.88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$1,498.78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$1,510.77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$1,522.86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$1,547.32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$1,501.33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$1,525.45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$1,537.65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$1,549.95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$1,562.35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$1,515.81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$1,527.94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$1,540.16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$1,552.48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$1,564.90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$1,577.42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$1,530.40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$1,542.64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$1,554.98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$1,567.42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$1,579.96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$1,592.60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$1,545.02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$1,557.38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$1,569.84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$1,582.40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$1,595.06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$1,607.82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$1,559.70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$1,572.18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$1,597.44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$1,610.22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$1,623.10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$1,574.44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$1,587.04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$1,599.73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$1,612.53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$1,625.43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$1,638.43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$1,589.25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$1,614.78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$1,627.70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$1,640.72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$1,653.85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$1,604.10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$1,616.94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$1,629.87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$1,642.91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$1,656.05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$1,619.04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$1,645.04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$1,658.20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$1,671.47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$1,684.84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$1,633.98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$1,647.05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$1,673.51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$1,686.90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$1,700.39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$1,649.01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$1,662.21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$1,675.50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$1,688.91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$1,702.42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$1,716.04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$1,664.09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$1,677.40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$1,690.82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$1,717.98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$1,731.73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$1,679.24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$1,692.67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$1,706.21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$1,719.86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$1,733.62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$1,747.49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$1,694.44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$1,708.00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$1,721.66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$1,735.44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$1,749.32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$1,763.32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$1,709.71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$1,723.39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$1,751.08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$1,765.08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$1,779.21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$1,725.01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$1,738.81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$1,752.72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$1,766.75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$1,780.88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$1,795.13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$1,740.43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$1,754.35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$1,768.38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$1,782.53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$1,796.79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$1,811.17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$1,755.85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$1,769.90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$1,784.05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$1,798.33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$1,827.22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$1,771.34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$1,785.51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$1,799.80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$1,814.20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$1,828.71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$1,843.34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$1,786.89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$1,801.18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$1,815.59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$1,830.12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$1,844.76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$1,859.52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$1,802.49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$1,816.91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$1,831.45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$1,846.10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$1,860.87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$1,875.76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$1,818.18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$1,832.73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$1,847.39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$1,862.17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$1,877.06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$1,892.08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$1,833.90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$1,848.57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$1,863.36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$1,878.27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$1,908.44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$1,864.50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$1,879.41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$1,894.45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$1,909.60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$1,924.88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$1,865.55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$1,880.47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$1,895.52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$1,910.68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$1,925.97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$1,941.37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$1,881.43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$1,896.48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$1,911.65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$1,926.95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$1,942.36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$1,957.90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$1,897.37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$1,912.55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$1,927.85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$1,943.28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$1,958.82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$1,974.49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$1,913.41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$1,928.72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$1,944.14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$1,959.70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$1,975.38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$1,991.18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$1,929.48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$1,944.92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$1,960.48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$1,976.16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$2,007.91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$1,945.64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$1,961.20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$1,976.89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$1,992.71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$2,008.65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$2,024.72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$1,961.83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$1,977.52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$1,993.34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$2,009.29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$2,025.36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$2,041.57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$1,978.07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$1,993.89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$2,009.84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$2,025.92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$2,042.13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$2,058.46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$1,994.40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$2,010.35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$2,026.43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$2,042.65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$2,058.99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$2,075.46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$2,010.78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$2,026.86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$2,043.08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$2,059.42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$2,075.90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$2,092.51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$2,027.18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$2,043.40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$2,059.74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$2,076.22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$2,092.83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$2,109.57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$2,043.69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$2,076.52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$2,093.13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$2,109.88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$2,126.76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$2,060.20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$2,076.68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$2,093.29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$2,110.04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$2,126.92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$2,143.93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$2,076.82</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$2,093.44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$2,110.18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$2,127.07</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$2,144.08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$2,161.23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$2,093.48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$2,110.23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$2,127.11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$2,144.13</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$2,161.28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$2,178.57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199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$2,110.20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$2,127.08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$2,144.09</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$2,161.25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$2,178.54</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$2,195.97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$2,127.00</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$2,144.01</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$2,161.16</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$2,178.45</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$2,195.88</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sz w:val="20"/>
                <w:szCs w:val="20"/>
                <w:lang w:bidi="ar"/>
              </w:rPr>
            </w:pPr>
            <w:r>
              <w:rPr>
                <w:rFonts w:ascii="Verdana" w:hAnsi="Verdana"/>
                <w:sz w:val="20"/>
                <w:szCs w:val="20"/>
                <w:lang w:bidi="ar"/>
              </w:rPr>
              <w:t>$2,213.45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En consumos mayores a 200 m³ se cobrará cada metro cúbico al precio siguiente y al importe que resulte se le sumará la cuota base.</w:t>
      </w:r>
    </w:p>
    <w:p>
      <w:pPr>
        <w:pStyle w:val="85"/>
        <w:jc w:val="both"/>
        <w:rPr>
          <w:rFonts w:ascii="Verdana" w:hAnsi="Verdana"/>
          <w:sz w:val="20"/>
          <w:szCs w:val="20"/>
          <w:lang w:val="es-MX"/>
        </w:rPr>
      </w:pPr>
    </w:p>
    <w:tbl>
      <w:tblPr>
        <w:tblStyle w:val="12"/>
        <w:tblW w:w="905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078"/>
        <w:gridCol w:w="1158"/>
        <w:gridCol w:w="1077"/>
        <w:gridCol w:w="1073"/>
        <w:gridCol w:w="1087"/>
        <w:gridCol w:w="1614"/>
        <w:gridCol w:w="19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Más de 200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septiembre octubre</w:t>
            </w:r>
          </w:p>
        </w:tc>
        <w:tc>
          <w:tcPr>
            <w:tcW w:w="196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Precio por 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$11.08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$11.26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$11.35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$11.44</w:t>
            </w:r>
          </w:p>
        </w:tc>
        <w:tc>
          <w:tcPr>
            <w:tcW w:w="196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$11.53</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both"/>
        <w:rPr>
          <w:rFonts w:ascii="Verdana" w:hAnsi="Verdana"/>
          <w:b/>
          <w:bCs/>
          <w:sz w:val="20"/>
          <w:szCs w:val="20"/>
          <w:lang w:val="es-MX"/>
        </w:rPr>
      </w:pPr>
      <w:r>
        <w:rPr>
          <w:rFonts w:ascii="Verdana" w:hAnsi="Verdana"/>
          <w:b/>
          <w:bCs/>
          <w:sz w:val="20"/>
          <w:szCs w:val="20"/>
          <w:lang w:val="es-MX"/>
        </w:rPr>
        <w:t>II. Tarifa bimestral servicio de agua potable a cuotas fijas</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421"/>
        <w:gridCol w:w="1241"/>
        <w:gridCol w:w="1180"/>
        <w:gridCol w:w="1174"/>
        <w:gridCol w:w="1190"/>
        <w:gridCol w:w="1726"/>
        <w:gridCol w:w="171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Doméstico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enero febrero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marzo abril</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mayo junio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julio agosto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septiembre octubre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noviembre diciembre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Lote baldío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$146.77</w:t>
            </w:r>
          </w:p>
        </w:tc>
      </w:tr>
    </w:tbl>
    <w:p>
      <w:pPr>
        <w:pStyle w:val="85"/>
        <w:jc w:val="both"/>
        <w:rPr>
          <w:rFonts w:ascii="Verdana" w:hAnsi="Verdana"/>
          <w:sz w:val="20"/>
          <w:szCs w:val="20"/>
        </w:rPr>
      </w:pPr>
    </w:p>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bCs/>
          <w:sz w:val="20"/>
          <w:szCs w:val="20"/>
        </w:rPr>
      </w:pPr>
      <w:r>
        <w:rPr>
          <w:rFonts w:ascii="Verdana" w:hAnsi="Verdana"/>
          <w:b/>
          <w:bCs/>
          <w:sz w:val="20"/>
          <w:szCs w:val="20"/>
        </w:rPr>
        <w:t xml:space="preserve">III. Servicio de alcantarillado </w:t>
      </w:r>
    </w:p>
    <w:p>
      <w:pPr>
        <w:pStyle w:val="85"/>
        <w:jc w:val="both"/>
        <w:rPr>
          <w:rFonts w:ascii="Verdana" w:hAnsi="Verdana"/>
          <w:sz w:val="20"/>
          <w:szCs w:val="20"/>
        </w:rPr>
      </w:pPr>
    </w:p>
    <w:p>
      <w:pPr>
        <w:pStyle w:val="85"/>
        <w:jc w:val="both"/>
        <w:rPr>
          <w:rFonts w:ascii="Verdana" w:hAnsi="Verdana"/>
          <w:sz w:val="20"/>
          <w:szCs w:val="20"/>
          <w:lang w:val="es-MX"/>
        </w:rPr>
      </w:pPr>
      <w:r>
        <w:rPr>
          <w:rFonts w:ascii="Verdana" w:hAnsi="Verdana"/>
          <w:sz w:val="20"/>
          <w:szCs w:val="20"/>
          <w:lang w:val="es-MX"/>
        </w:rPr>
        <w:t>El servicio de drenaje se cubrirá a una tasa del 20% sobre el importe de agua. Este servicio será pagado por los usuarios que lo reciban.</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Los usuarios a los que se les suministra agua potable por una fuente de abastecimiento no operada por el organismo operador, pero que tengan conexión a la red de drenaje municipal, pagarán una cuota fija bimestral de acuerdo a la tabla siguiente:</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674"/>
        <w:gridCol w:w="156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
                <w:bCs/>
                <w:sz w:val="20"/>
                <w:szCs w:val="20"/>
                <w:lang w:bidi="ar"/>
              </w:rPr>
            </w:pPr>
            <w:r>
              <w:rPr>
                <w:rFonts w:ascii="Verdana" w:hAnsi="Verdana"/>
                <w:b/>
                <w:bCs/>
                <w:sz w:val="20"/>
                <w:szCs w:val="20"/>
                <w:lang w:bidi="ar"/>
              </w:rPr>
              <w:t xml:space="preserve">Giros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b/>
                <w:bCs/>
                <w:sz w:val="20"/>
                <w:szCs w:val="20"/>
                <w:lang w:bidi="ar"/>
              </w:rPr>
            </w:pPr>
            <w:r>
              <w:rPr>
                <w:rFonts w:ascii="Verdana" w:hAnsi="Verdana"/>
                <w:b/>
                <w:bCs/>
                <w:sz w:val="20"/>
                <w:szCs w:val="20"/>
                <w:lang w:bidi="ar"/>
              </w:rPr>
              <w:t xml:space="preserve">Cuotas fijas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Doméstico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$55.50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Comercial y de servicios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$103.40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$575.90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Otros giros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$103.40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Las empresas prestadoras de los servicios de sanitarios móviles, recolección y limpieza de fosas sépticas que requieran descargar sus residuos a las redes municipales, deberán previamente solicitar por escrito la autorización respectiva, y cumplir con los requisitos que el organismo operador les señale, además de cubrir la cuota por derechos de descarga de $719.80 en una sola ocasión y una cuota de:</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4701"/>
        <w:gridCol w:w="1049"/>
        <w:gridCol w:w="21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Concepto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Importe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Unidad de medida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Proveniente de fosa séptica y baños móviles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m³ descargado</w:t>
            </w:r>
          </w:p>
        </w:tc>
      </w:tr>
    </w:tbl>
    <w:p>
      <w:pPr>
        <w:pStyle w:val="85"/>
        <w:jc w:val="both"/>
        <w:rPr>
          <w:rFonts w:ascii="Verdana" w:hAnsi="Verdana"/>
          <w:sz w:val="20"/>
          <w:szCs w:val="20"/>
        </w:rPr>
      </w:pPr>
    </w:p>
    <w:p>
      <w:pPr>
        <w:pStyle w:val="85"/>
        <w:jc w:val="both"/>
        <w:rPr>
          <w:rFonts w:ascii="Verdana" w:hAnsi="Verdana"/>
          <w:b/>
          <w:bCs/>
          <w:sz w:val="20"/>
          <w:szCs w:val="20"/>
        </w:rPr>
      </w:pPr>
      <w:r>
        <w:rPr>
          <w:rFonts w:ascii="Verdana" w:hAnsi="Verdana"/>
          <w:b/>
          <w:bCs/>
          <w:sz w:val="20"/>
          <w:szCs w:val="20"/>
        </w:rPr>
        <w:t>IV. Tratamiento de aguas residuales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El tratamiento de aguas residuales en la planta tratadora intermunicipal se cubrirá a una tasa del 16% sobre el importe bimestral facturado por servicio de agua potable.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Para los usuarios que descarguen su agua residual en la planta tratadora ubicada en el fraccionamiento Rinconadas del Bosque, se cubrirá a una tasa del 19% sobre el importe bimestral facturado por servicio de agua potable.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Los usuarios que se encuentren en los supuestos del inciso b de la fracción III de este artículo pagarán una cuota fija bimestral conforme a la siguiente tabla: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674"/>
        <w:gridCol w:w="1420"/>
      </w:tblGrid>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Giros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Cuotas fijas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Doméstico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$47.40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Comercial y de servicios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$95.30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Industrial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$447.70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Otros giros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$79.50</w:t>
            </w:r>
          </w:p>
        </w:tc>
      </w:tr>
    </w:tbl>
    <w:p>
      <w:pPr>
        <w:pStyle w:val="85"/>
        <w:jc w:val="both"/>
        <w:rPr>
          <w:rFonts w:ascii="Verdana" w:hAnsi="Verdana"/>
          <w:b/>
          <w:bCs/>
          <w:sz w:val="20"/>
          <w:szCs w:val="20"/>
        </w:rPr>
      </w:pPr>
      <w:r>
        <w:rPr>
          <w:rFonts w:ascii="Verdana" w:hAnsi="Verdana"/>
          <w:b/>
          <w:bCs/>
          <w:sz w:val="20"/>
          <w:szCs w:val="20"/>
        </w:rPr>
        <w:t xml:space="preserve"> </w:t>
      </w:r>
    </w:p>
    <w:p>
      <w:pPr>
        <w:pStyle w:val="85"/>
        <w:jc w:val="both"/>
        <w:rPr>
          <w:rFonts w:ascii="Verdana" w:hAnsi="Verdana"/>
          <w:b/>
          <w:bCs/>
          <w:sz w:val="20"/>
          <w:szCs w:val="20"/>
          <w:lang w:val="es-MX"/>
        </w:rPr>
      </w:pPr>
      <w:r>
        <w:rPr>
          <w:rFonts w:ascii="Verdana" w:hAnsi="Verdana"/>
          <w:b/>
          <w:bCs/>
          <w:sz w:val="20"/>
          <w:szCs w:val="20"/>
          <w:lang w:val="es-MX"/>
        </w:rPr>
        <w:t>V. Contrato para todos los giros</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4421"/>
        <w:gridCol w:w="10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Concepto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Importe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a)</w:t>
            </w:r>
            <w:r>
              <w:rPr>
                <w:rFonts w:ascii="Verdana" w:hAnsi="Verdana"/>
                <w:sz w:val="20"/>
                <w:szCs w:val="20"/>
                <w:lang w:val="es-MX" w:bidi="ar"/>
              </w:rPr>
              <w:t xml:space="preserve"> Contrato de agua potable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$175.90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b)</w:t>
            </w:r>
            <w:r>
              <w:rPr>
                <w:rFonts w:ascii="Verdana" w:hAnsi="Verdana"/>
                <w:sz w:val="20"/>
                <w:szCs w:val="20"/>
                <w:lang w:val="es-MX" w:bidi="ar"/>
              </w:rPr>
              <w:t xml:space="preserve"> Contrato de descarga de agua residual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$175.90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both"/>
        <w:rPr>
          <w:rFonts w:ascii="Verdana" w:hAnsi="Verdana"/>
          <w:b/>
          <w:bCs/>
          <w:sz w:val="20"/>
          <w:szCs w:val="20"/>
          <w:lang w:val="es-MX"/>
        </w:rPr>
      </w:pPr>
      <w:r>
        <w:rPr>
          <w:rFonts w:ascii="Verdana" w:hAnsi="Verdana"/>
          <w:b/>
          <w:bCs/>
          <w:sz w:val="20"/>
          <w:szCs w:val="20"/>
          <w:lang w:val="es-MX"/>
        </w:rPr>
        <w:t>VI. Materiales e instalación del ramal para tomas de agua potable</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894"/>
        <w:gridCol w:w="1276"/>
        <w:gridCol w:w="1276"/>
        <w:gridCol w:w="1276"/>
        <w:gridCol w:w="1276"/>
        <w:gridCol w:w="140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½''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¾”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1''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1 ½''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2''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BT</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$1,104.80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$1,420.10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$2,363.90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$2,921.30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$4,709.30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BP</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$1,277.30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$1,613.80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$2,560.00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$3,114.90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$4,905.50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CT</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$2,015.00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$2,812.10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$3,820.40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$4,765.30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$7,131.90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CP</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$2,812.10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$3,613.00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$4,618.80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$5,563.60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$7,932.90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LT</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$2,886.70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$4,089.60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$5,221.00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$6,297.40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$9,498.70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Tipo LP</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$4,232.60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$5,425.80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$6,536.00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$7,597.60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$10,768.90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terracería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$197.10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$298.90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$355.90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$426.70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$572.10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$338.60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$440.50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$498.80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$568.30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$712.20</w:t>
            </w:r>
          </w:p>
        </w:tc>
      </w:tr>
    </w:tbl>
    <w:p>
      <w:pPr>
        <w:pStyle w:val="85"/>
        <w:jc w:val="both"/>
        <w:rPr>
          <w:rFonts w:ascii="Verdana" w:hAnsi="Verdana"/>
          <w:sz w:val="20"/>
          <w:szCs w:val="20"/>
        </w:rPr>
      </w:pPr>
    </w:p>
    <w:p>
      <w:pPr>
        <w:pStyle w:val="85"/>
        <w:jc w:val="both"/>
        <w:rPr>
          <w:rFonts w:ascii="Verdana" w:hAnsi="Verdana"/>
          <w:sz w:val="20"/>
          <w:szCs w:val="20"/>
        </w:rPr>
      </w:pPr>
      <w:r>
        <w:rPr>
          <w:rFonts w:ascii="Verdana" w:hAnsi="Verdana"/>
          <w:sz w:val="20"/>
          <w:szCs w:val="20"/>
        </w:rPr>
        <w:t>Equivalencias al cuadro anterior:</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En relación a la ubicación de la toma:</w:t>
      </w:r>
    </w:p>
    <w:p>
      <w:pPr>
        <w:pStyle w:val="85"/>
        <w:jc w:val="both"/>
        <w:rPr>
          <w:rFonts w:ascii="Verdana" w:hAnsi="Verdana"/>
          <w:sz w:val="20"/>
          <w:szCs w:val="20"/>
          <w:lang w:val="es-MX"/>
        </w:rPr>
      </w:pPr>
      <w:r>
        <w:rPr>
          <w:rFonts w:ascii="Verdana" w:hAnsi="Verdana"/>
          <w:sz w:val="20"/>
          <w:szCs w:val="20"/>
          <w:lang w:val="es-MX"/>
        </w:rPr>
        <w:t xml:space="preserve">a) </w:t>
      </w:r>
      <w:r>
        <w:rPr>
          <w:rFonts w:ascii="Verdana" w:hAnsi="Verdana"/>
          <w:bCs/>
          <w:sz w:val="20"/>
          <w:szCs w:val="20"/>
          <w:lang w:val="es-MX"/>
        </w:rPr>
        <w:t>B Toma de banqueta</w:t>
      </w:r>
      <w:r>
        <w:rPr>
          <w:rFonts w:ascii="Verdana" w:hAnsi="Verdana"/>
          <w:sz w:val="20"/>
          <w:szCs w:val="20"/>
          <w:lang w:val="es-MX"/>
        </w:rPr>
        <w:t xml:space="preserve">  </w:t>
      </w:r>
    </w:p>
    <w:p>
      <w:pPr>
        <w:pStyle w:val="85"/>
        <w:jc w:val="both"/>
        <w:rPr>
          <w:rFonts w:ascii="Verdana" w:hAnsi="Verdana"/>
          <w:bCs/>
          <w:sz w:val="20"/>
          <w:szCs w:val="20"/>
          <w:lang w:val="es-MX"/>
        </w:rPr>
      </w:pPr>
      <w:r>
        <w:rPr>
          <w:rFonts w:ascii="Verdana" w:hAnsi="Verdana"/>
          <w:sz w:val="20"/>
          <w:szCs w:val="20"/>
          <w:lang w:val="es-MX"/>
        </w:rPr>
        <w:t xml:space="preserve">b) </w:t>
      </w:r>
      <w:r>
        <w:rPr>
          <w:rFonts w:ascii="Verdana" w:hAnsi="Verdana"/>
          <w:bCs/>
          <w:sz w:val="20"/>
          <w:szCs w:val="20"/>
          <w:lang w:val="es-MX"/>
        </w:rPr>
        <w:t xml:space="preserve">C Toma corta de hasta 6 metros de longitud </w:t>
      </w:r>
    </w:p>
    <w:p>
      <w:pPr>
        <w:pStyle w:val="85"/>
        <w:jc w:val="both"/>
        <w:rPr>
          <w:rFonts w:ascii="Verdana" w:hAnsi="Verdana"/>
          <w:sz w:val="20"/>
          <w:szCs w:val="20"/>
          <w:lang w:val="es-MX"/>
        </w:rPr>
      </w:pPr>
      <w:r>
        <w:rPr>
          <w:rFonts w:ascii="Verdana" w:hAnsi="Verdana"/>
          <w:sz w:val="20"/>
          <w:szCs w:val="20"/>
          <w:lang w:val="es-MX"/>
        </w:rPr>
        <w:t xml:space="preserve">c) </w:t>
      </w:r>
      <w:r>
        <w:rPr>
          <w:rFonts w:ascii="Verdana" w:hAnsi="Verdana"/>
          <w:bCs/>
          <w:sz w:val="20"/>
          <w:szCs w:val="20"/>
          <w:lang w:val="es-MX"/>
        </w:rPr>
        <w:t>L Toma larga de hasta 10 metros de longitud</w:t>
      </w:r>
    </w:p>
    <w:p>
      <w:pPr>
        <w:pStyle w:val="85"/>
        <w:jc w:val="both"/>
        <w:rPr>
          <w:rFonts w:ascii="Verdana" w:hAnsi="Verdana"/>
          <w:sz w:val="20"/>
          <w:szCs w:val="20"/>
          <w:lang w:val="es-MX"/>
        </w:rPr>
      </w:pPr>
      <w:r>
        <w:rPr>
          <w:rFonts w:ascii="Verdana" w:hAnsi="Verdana"/>
          <w:sz w:val="20"/>
          <w:szCs w:val="20"/>
          <w:lang w:val="es-MX"/>
        </w:rPr>
        <w:t xml:space="preserve"> En relación a la superficie: </w:t>
      </w:r>
    </w:p>
    <w:p>
      <w:pPr>
        <w:pStyle w:val="85"/>
        <w:jc w:val="both"/>
        <w:rPr>
          <w:rFonts w:ascii="Verdana" w:hAnsi="Verdana"/>
          <w:sz w:val="20"/>
          <w:szCs w:val="20"/>
          <w:lang w:val="es-MX"/>
        </w:rPr>
      </w:pPr>
      <w:r>
        <w:rPr>
          <w:rFonts w:ascii="Verdana" w:hAnsi="Verdana"/>
          <w:sz w:val="20"/>
          <w:szCs w:val="20"/>
          <w:lang w:val="es-MX"/>
        </w:rPr>
        <w:t xml:space="preserve">a) </w:t>
      </w:r>
      <w:r>
        <w:rPr>
          <w:rFonts w:ascii="Verdana" w:hAnsi="Verdana"/>
          <w:bCs/>
          <w:sz w:val="20"/>
          <w:szCs w:val="20"/>
          <w:lang w:val="es-MX"/>
        </w:rPr>
        <w:t>T Terracería</w:t>
      </w:r>
      <w:r>
        <w:rPr>
          <w:rFonts w:ascii="Verdana" w:hAnsi="Verdana"/>
          <w:sz w:val="20"/>
          <w:szCs w:val="20"/>
          <w:lang w:val="es-MX"/>
        </w:rPr>
        <w:t xml:space="preserve">  </w:t>
      </w:r>
    </w:p>
    <w:p>
      <w:pPr>
        <w:pStyle w:val="85"/>
        <w:jc w:val="both"/>
        <w:rPr>
          <w:rFonts w:ascii="Verdana" w:hAnsi="Verdana"/>
          <w:sz w:val="20"/>
          <w:szCs w:val="20"/>
          <w:lang w:val="es-MX"/>
        </w:rPr>
      </w:pPr>
      <w:r>
        <w:rPr>
          <w:rFonts w:ascii="Verdana" w:hAnsi="Verdana"/>
          <w:sz w:val="20"/>
          <w:szCs w:val="20"/>
          <w:lang w:val="es-MX"/>
        </w:rPr>
        <w:t xml:space="preserve">b) </w:t>
      </w:r>
      <w:r>
        <w:rPr>
          <w:rFonts w:ascii="Verdana" w:hAnsi="Verdana"/>
          <w:bCs/>
          <w:sz w:val="20"/>
          <w:szCs w:val="20"/>
          <w:lang w:val="es-MX"/>
        </w:rPr>
        <w:t>P Pavimento</w:t>
      </w:r>
    </w:p>
    <w:p>
      <w:pPr>
        <w:pStyle w:val="85"/>
        <w:jc w:val="both"/>
        <w:rPr>
          <w:rFonts w:ascii="Verdana" w:hAnsi="Verdana"/>
          <w:sz w:val="20"/>
          <w:szCs w:val="20"/>
          <w:lang w:val="es-MX"/>
        </w:rPr>
      </w:pPr>
    </w:p>
    <w:p>
      <w:pPr>
        <w:pStyle w:val="85"/>
        <w:jc w:val="both"/>
        <w:rPr>
          <w:rFonts w:ascii="Verdana" w:hAnsi="Verdana"/>
          <w:b/>
          <w:bCs/>
          <w:sz w:val="20"/>
          <w:szCs w:val="20"/>
          <w:lang w:val="es-MX"/>
        </w:rPr>
      </w:pPr>
      <w:r>
        <w:rPr>
          <w:rFonts w:ascii="Verdana" w:hAnsi="Verdana"/>
          <w:b/>
          <w:bCs/>
          <w:sz w:val="20"/>
          <w:szCs w:val="20"/>
          <w:lang w:val="es-MX"/>
        </w:rPr>
        <w:t>VII. Materiales e instalación de caja de medición</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426"/>
        <w:gridCol w:w="12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val="es-MX"/>
              </w:rPr>
              <w:t xml:space="preserve"> </w:t>
            </w:r>
            <w:r>
              <w:rPr>
                <w:rFonts w:ascii="Verdana" w:hAnsi="Verdana"/>
                <w:sz w:val="20"/>
                <w:szCs w:val="20"/>
                <w:lang w:bidi="ar"/>
              </w:rPr>
              <w:t xml:space="preserve">Concepto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Importe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a)</w:t>
            </w:r>
            <w:r>
              <w:rPr>
                <w:rFonts w:ascii="Verdana" w:hAnsi="Verdana"/>
                <w:sz w:val="20"/>
                <w:szCs w:val="20"/>
                <w:lang w:val="es-MX" w:bidi="ar"/>
              </w:rPr>
              <w:t xml:space="preserve"> Para tomas de ½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$790.50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b)</w:t>
            </w:r>
            <w:r>
              <w:rPr>
                <w:rFonts w:ascii="Verdana" w:hAnsi="Verdana"/>
                <w:sz w:val="20"/>
                <w:szCs w:val="20"/>
                <w:lang w:val="es-MX" w:bidi="ar"/>
              </w:rPr>
              <w:t xml:space="preserve"> Para tomas de ¾ de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$964.40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c)</w:t>
            </w:r>
            <w:r>
              <w:rPr>
                <w:rFonts w:ascii="Verdana" w:hAnsi="Verdana"/>
                <w:sz w:val="20"/>
                <w:szCs w:val="20"/>
                <w:lang w:val="es-MX" w:bidi="ar"/>
              </w:rPr>
              <w:t xml:space="preserve"> Para tomas de 1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$1,315.80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d)</w:t>
            </w:r>
            <w:r>
              <w:rPr>
                <w:rFonts w:ascii="Verdana" w:hAnsi="Verdana"/>
                <w:sz w:val="20"/>
                <w:szCs w:val="20"/>
                <w:lang w:val="es-MX" w:bidi="ar"/>
              </w:rPr>
              <w:t xml:space="preserve"> Para tomas de 1 ½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$2,101.90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e)</w:t>
            </w:r>
            <w:r>
              <w:rPr>
                <w:rFonts w:ascii="Verdana" w:hAnsi="Verdana"/>
                <w:sz w:val="20"/>
                <w:szCs w:val="20"/>
                <w:lang w:val="es-MX" w:bidi="ar"/>
              </w:rPr>
              <w:t xml:space="preserve"> Para tomas de 2 pulgadas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$2,979.80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bCs/>
          <w:sz w:val="20"/>
          <w:szCs w:val="20"/>
          <w:lang w:val="es-MX"/>
        </w:rPr>
      </w:pPr>
      <w:r>
        <w:rPr>
          <w:rFonts w:ascii="Verdana" w:hAnsi="Verdana"/>
          <w:b/>
          <w:bCs/>
          <w:sz w:val="20"/>
          <w:szCs w:val="20"/>
          <w:lang w:val="es-MX"/>
        </w:rPr>
        <w:t>VIII. Suministro e instalación de medidores de agua potable</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426"/>
        <w:gridCol w:w="1526"/>
        <w:gridCol w:w="143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Concepto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De velocidad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Volumétrico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a)</w:t>
            </w:r>
            <w:r>
              <w:rPr>
                <w:rFonts w:ascii="Verdana" w:hAnsi="Verdana"/>
                <w:sz w:val="20"/>
                <w:szCs w:val="20"/>
                <w:lang w:val="es-MX" w:bidi="ar"/>
              </w:rPr>
              <w:t xml:space="preserve"> Para tomas de ½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$537.40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$1,112.20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b)</w:t>
            </w:r>
            <w:r>
              <w:rPr>
                <w:rFonts w:ascii="Verdana" w:hAnsi="Verdana"/>
                <w:sz w:val="20"/>
                <w:szCs w:val="20"/>
                <w:lang w:val="es-MX" w:bidi="ar"/>
              </w:rPr>
              <w:t xml:space="preserve"> Para tomas de ¾ de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$624.40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$1,790.10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c)</w:t>
            </w:r>
            <w:r>
              <w:rPr>
                <w:rFonts w:ascii="Verdana" w:hAnsi="Verdana"/>
                <w:sz w:val="20"/>
                <w:szCs w:val="20"/>
                <w:lang w:val="es-MX" w:bidi="ar"/>
              </w:rPr>
              <w:t xml:space="preserve"> Para tomas de 1 pulgada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$2,829.40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$4,688.20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d)</w:t>
            </w:r>
            <w:r>
              <w:rPr>
                <w:rFonts w:ascii="Verdana" w:hAnsi="Verdana"/>
                <w:sz w:val="20"/>
                <w:szCs w:val="20"/>
                <w:lang w:val="es-MX" w:bidi="ar"/>
              </w:rPr>
              <w:t xml:space="preserve"> Para tomas de 1½ pulgadas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$7,580.20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$11,105.40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e)</w:t>
            </w:r>
            <w:r>
              <w:rPr>
                <w:rFonts w:ascii="Verdana" w:hAnsi="Verdana"/>
                <w:sz w:val="20"/>
                <w:szCs w:val="20"/>
                <w:lang w:val="es-MX" w:bidi="ar"/>
              </w:rPr>
              <w:t xml:space="preserve"> Para tomas de 2 pulgadas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$10,257.10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$13,366.50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bCs/>
          <w:sz w:val="20"/>
          <w:szCs w:val="20"/>
          <w:lang w:val="es-MX"/>
        </w:rPr>
      </w:pPr>
      <w:r>
        <w:rPr>
          <w:rFonts w:ascii="Verdana" w:hAnsi="Verdana"/>
          <w:b/>
          <w:bCs/>
          <w:sz w:val="20"/>
          <w:szCs w:val="20"/>
          <w:lang w:val="es-MX"/>
        </w:rPr>
        <w:t>IX. Materiales e instalación para descarga de agua residual</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963"/>
        <w:gridCol w:w="1434"/>
        <w:gridCol w:w="2135"/>
        <w:gridCol w:w="2075"/>
        <w:gridCol w:w="203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Tubería de concreto</w:t>
            </w:r>
          </w:p>
        </w:tc>
        <w:tc>
          <w:tcPr>
            <w:tcW w:w="143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normal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normal Terracería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Terracería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6</w:t>
            </w:r>
            <w:r>
              <w:rPr>
                <w:rFonts w:ascii="Verdana" w:hAnsi="Verdana"/>
                <w:sz w:val="20"/>
                <w:szCs w:val="20"/>
              </w:rPr>
              <w:t>"</w:t>
            </w:r>
          </w:p>
        </w:tc>
        <w:tc>
          <w:tcPr>
            <w:tcW w:w="143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$3,071.50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$1,821.20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$607.60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$419.80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8</w:t>
            </w:r>
            <w:r>
              <w:rPr>
                <w:rFonts w:ascii="Verdana" w:hAnsi="Verdana"/>
                <w:sz w:val="20"/>
                <w:szCs w:val="20"/>
              </w:rPr>
              <w:t>"</w:t>
            </w:r>
          </w:p>
        </w:tc>
        <w:tc>
          <w:tcPr>
            <w:tcW w:w="143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$3,239.40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$1,964.20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$632.10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$446.00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10</w:t>
            </w:r>
            <w:r>
              <w:rPr>
                <w:rFonts w:ascii="Verdana" w:hAnsi="Verdana"/>
                <w:sz w:val="20"/>
                <w:szCs w:val="20"/>
              </w:rPr>
              <w:t>"</w:t>
            </w:r>
          </w:p>
        </w:tc>
        <w:tc>
          <w:tcPr>
            <w:tcW w:w="143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$3,404.10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$2,115.30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$658.60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$470.60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12</w:t>
            </w:r>
            <w:r>
              <w:rPr>
                <w:rFonts w:ascii="Verdana" w:hAnsi="Verdana"/>
                <w:sz w:val="20"/>
                <w:szCs w:val="20"/>
              </w:rPr>
              <w:t>"</w:t>
            </w:r>
          </w:p>
        </w:tc>
        <w:tc>
          <w:tcPr>
            <w:tcW w:w="143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$3,624.20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$2,316.90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$690.70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$504.50</w:t>
            </w:r>
          </w:p>
        </w:tc>
      </w:tr>
    </w:tbl>
    <w:p>
      <w:pPr>
        <w:pStyle w:val="85"/>
        <w:jc w:val="both"/>
        <w:rPr>
          <w:rFonts w:ascii="Verdana" w:hAnsi="Verdana"/>
          <w:sz w:val="20"/>
          <w:szCs w:val="20"/>
        </w:rPr>
      </w:pPr>
      <w:r>
        <w:rPr>
          <w:rFonts w:ascii="Verdana" w:hAnsi="Verdana"/>
          <w:sz w:val="20"/>
          <w:szCs w:val="20"/>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963"/>
        <w:gridCol w:w="1295"/>
        <w:gridCol w:w="2184"/>
        <w:gridCol w:w="2120"/>
        <w:gridCol w:w="208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Tubería de PVC</w:t>
            </w:r>
          </w:p>
        </w:tc>
        <w:tc>
          <w:tcPr>
            <w:tcW w:w="127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normal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normal Terracería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Metro adicional Terracería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6</w:t>
            </w:r>
            <w:r>
              <w:rPr>
                <w:rFonts w:ascii="Verdana" w:hAnsi="Verdana"/>
                <w:sz w:val="20"/>
                <w:szCs w:val="20"/>
              </w:rPr>
              <w:t>"</w:t>
            </w:r>
          </w:p>
        </w:tc>
        <w:tc>
          <w:tcPr>
            <w:tcW w:w="127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$3,903.10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$2,518.60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$709.20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$521.30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8</w:t>
            </w:r>
            <w:r>
              <w:rPr>
                <w:rFonts w:ascii="Verdana" w:hAnsi="Verdana"/>
                <w:sz w:val="20"/>
                <w:szCs w:val="20"/>
              </w:rPr>
              <w:t>"</w:t>
            </w:r>
          </w:p>
        </w:tc>
        <w:tc>
          <w:tcPr>
            <w:tcW w:w="127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$4,460.40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$3,040.50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$746.30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$556.90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10</w:t>
            </w:r>
            <w:r>
              <w:rPr>
                <w:rFonts w:ascii="Verdana" w:hAnsi="Verdana"/>
                <w:sz w:val="20"/>
                <w:szCs w:val="20"/>
              </w:rPr>
              <w:t>"</w:t>
            </w:r>
          </w:p>
        </w:tc>
        <w:tc>
          <w:tcPr>
            <w:tcW w:w="127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$5,470.60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$3,958.50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$863.30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$664.60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1963"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 de 12</w:t>
            </w:r>
            <w:r>
              <w:rPr>
                <w:rFonts w:ascii="Verdana" w:hAnsi="Verdana"/>
                <w:sz w:val="20"/>
                <w:szCs w:val="20"/>
              </w:rPr>
              <w:t>"</w:t>
            </w:r>
          </w:p>
        </w:tc>
        <w:tc>
          <w:tcPr>
            <w:tcW w:w="1277"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$6,708.70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$5,127.30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$1,060.30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$854.00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Las descargas serán consideradas para una distancia de hasta seis metros y en caso de que esta fuera mayor, se agregarán al importe base los metros excedentes al costo unitario que corresponda a cada diámetro y tipo de superficie.</w:t>
      </w:r>
    </w:p>
    <w:p>
      <w:pPr>
        <w:pStyle w:val="85"/>
        <w:jc w:val="both"/>
        <w:rPr>
          <w:rFonts w:ascii="Verdana" w:hAnsi="Verdana"/>
          <w:sz w:val="20"/>
          <w:szCs w:val="20"/>
          <w:lang w:val="es-MX"/>
        </w:rPr>
      </w:pPr>
    </w:p>
    <w:p>
      <w:pPr>
        <w:pStyle w:val="85"/>
        <w:jc w:val="both"/>
        <w:rPr>
          <w:rFonts w:ascii="Verdana" w:hAnsi="Verdana"/>
          <w:b/>
          <w:bCs/>
          <w:sz w:val="20"/>
          <w:szCs w:val="20"/>
        </w:rPr>
      </w:pPr>
      <w:r>
        <w:rPr>
          <w:rFonts w:ascii="Verdana" w:hAnsi="Verdana"/>
          <w:b/>
          <w:bCs/>
          <w:sz w:val="20"/>
          <w:szCs w:val="20"/>
          <w:lang w:val="es-MX"/>
        </w:rPr>
        <w:t xml:space="preserve"> </w:t>
      </w:r>
      <w:r>
        <w:rPr>
          <w:rFonts w:ascii="Verdana" w:hAnsi="Verdana"/>
          <w:b/>
          <w:bCs/>
          <w:sz w:val="20"/>
          <w:szCs w:val="20"/>
        </w:rPr>
        <w:t>X. Servicios administrativos para usuarios</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721"/>
        <w:gridCol w:w="1302"/>
        <w:gridCol w:w="116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Concepto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Unidad</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Importe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Duplicado de recibo notificado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recibo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Constancias de no adeudo o constancias de consumos históricos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constancia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Cambios de titular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toma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Suspensión voluntaria de la toma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toma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$399.40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bCs/>
          <w:sz w:val="20"/>
          <w:szCs w:val="20"/>
        </w:rPr>
      </w:pPr>
      <w:r>
        <w:rPr>
          <w:rFonts w:ascii="Verdana" w:hAnsi="Verdana"/>
          <w:b/>
          <w:bCs/>
          <w:sz w:val="20"/>
          <w:szCs w:val="20"/>
        </w:rPr>
        <w:t>XI. Servicios operativos para usuarios</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3797"/>
        <w:gridCol w:w="1405"/>
        <w:gridCol w:w="289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rPr>
              <w:t xml:space="preserve"> </w:t>
            </w:r>
            <w:r>
              <w:rPr>
                <w:rFonts w:ascii="Verdana" w:hAnsi="Verdana"/>
                <w:sz w:val="20"/>
                <w:szCs w:val="20"/>
                <w:lang w:bidi="ar"/>
              </w:rPr>
              <w:t>Concepto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Unidad</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Importe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Cs/>
                <w:sz w:val="20"/>
                <w:szCs w:val="20"/>
                <w:lang w:bidi="ar"/>
              </w:rPr>
            </w:pPr>
            <w:r>
              <w:rPr>
                <w:rFonts w:ascii="Verdana" w:hAnsi="Verdana"/>
                <w:bCs/>
                <w:sz w:val="20"/>
                <w:szCs w:val="20"/>
                <w:lang w:bidi="ar"/>
              </w:rPr>
              <w:t>Agua para construcción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volumen para fraccionamientos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m³</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área a construir por 6 meses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m²</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Cs/>
                <w:sz w:val="20"/>
                <w:szCs w:val="20"/>
                <w:lang w:bidi="ar"/>
              </w:rPr>
            </w:pPr>
            <w:r>
              <w:rPr>
                <w:rFonts w:ascii="Verdana" w:hAnsi="Verdana"/>
                <w:bCs/>
                <w:sz w:val="20"/>
                <w:szCs w:val="20"/>
                <w:lang w:bidi="ar"/>
              </w:rPr>
              <w:t>Otros servicios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Limpieza descarga sanitaria: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medios mecánicos</w:t>
            </w:r>
          </w:p>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servicio</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$580.70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Con camión </w:t>
            </w:r>
          </w:p>
          <w:p>
            <w:pPr>
              <w:pStyle w:val="85"/>
              <w:jc w:val="both"/>
              <w:rPr>
                <w:rFonts w:ascii="Verdana" w:hAnsi="Verdana"/>
                <w:sz w:val="20"/>
                <w:szCs w:val="20"/>
                <w:lang w:bidi="ar"/>
              </w:rPr>
            </w:pPr>
            <w:r>
              <w:rPr>
                <w:rFonts w:ascii="Verdana" w:hAnsi="Verdana"/>
                <w:sz w:val="20"/>
                <w:szCs w:val="20"/>
                <w:lang w:bidi="ar"/>
              </w:rPr>
              <w:t>hidroneumático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hora</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$1,530.00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Reconexión de toma de agua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toma</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$247.80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Reconexión de drenaje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descarga</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$247.80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Agua para pipas (sin transporte)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m³</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Transporte de agua en pipa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m³/km</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Reactivación de la cuenta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cuenta</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$54.90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Reubicación de medidor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toma</w:t>
            </w:r>
          </w:p>
        </w:tc>
        <w:tc>
          <w:tcPr>
            <w:tcW w:w="2891"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$583.40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b/>
          <w:bCs/>
          <w:sz w:val="20"/>
          <w:szCs w:val="20"/>
          <w:lang w:val="es-MX"/>
        </w:rPr>
      </w:pPr>
      <w:r>
        <w:rPr>
          <w:rFonts w:ascii="Verdana" w:hAnsi="Verdana"/>
          <w:b/>
          <w:bCs/>
          <w:sz w:val="20"/>
          <w:szCs w:val="20"/>
          <w:lang w:val="es-MX"/>
        </w:rPr>
        <w:t>XII. Incorporación a la red hidráulica y sanitaria para fraccionamientos habitacionales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El pago por incorporación de agua potable y drenaje lo realizará el fraccionador o desarrollador conforme a la siguiente tabla, debiéndose pagar de acuerdo a la programación que el convenio respectivo establezca.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956"/>
        <w:gridCol w:w="1562"/>
        <w:gridCol w:w="1276"/>
        <w:gridCol w:w="140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val="es-MX"/>
              </w:rPr>
              <w:t xml:space="preserve"> </w:t>
            </w:r>
            <w:r>
              <w:rPr>
                <w:rFonts w:ascii="Verdana" w:hAnsi="Verdana"/>
                <w:sz w:val="20"/>
                <w:szCs w:val="20"/>
                <w:lang w:bidi="ar"/>
              </w:rPr>
              <w:t xml:space="preserve">Tipo de vivienda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Agua potable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Drenaje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Importe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1.</w:t>
            </w:r>
            <w:r>
              <w:rPr>
                <w:rFonts w:ascii="Verdana" w:hAnsi="Verdana"/>
                <w:sz w:val="20"/>
                <w:szCs w:val="20"/>
                <w:lang w:bidi="ar"/>
              </w:rPr>
              <w:t xml:space="preserve"> Popular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$4,671.60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$1,307.80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$5,979.40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2.</w:t>
            </w:r>
            <w:r>
              <w:rPr>
                <w:rFonts w:ascii="Verdana" w:hAnsi="Verdana"/>
                <w:sz w:val="20"/>
                <w:szCs w:val="20"/>
                <w:lang w:bidi="ar"/>
              </w:rPr>
              <w:t xml:space="preserve"> Interés social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$5,750.30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$1,609.40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$7,359.70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3.</w:t>
            </w:r>
            <w:r>
              <w:rPr>
                <w:rFonts w:ascii="Verdana" w:hAnsi="Verdana"/>
                <w:sz w:val="20"/>
                <w:szCs w:val="20"/>
                <w:lang w:bidi="ar"/>
              </w:rPr>
              <w:t xml:space="preserve"> Residencial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$7,299.50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$2,403.90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$9,703.40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4.</w:t>
            </w:r>
            <w:r>
              <w:rPr>
                <w:rFonts w:ascii="Verdana" w:hAnsi="Verdana"/>
                <w:sz w:val="20"/>
                <w:szCs w:val="20"/>
                <w:lang w:bidi="ar"/>
              </w:rPr>
              <w:t xml:space="preserve"> Campestre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$10,593.30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$10,593.30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b)  Para determinar el importe a pagar se multiplicará el importe total del tipo de vivienda de que se trate, contenido en la columna correspondiente al importe total de la tabla establecida en el inciso a de esta fracción, por el número de viviendas y lotes a fraccionar. Adicional a este importe se cobrará por concepto de títulos de explotación un importe de $1,303.50 por cada lote o vivienda.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  Si el fraccionador entrega títulos de explotación que se encuentren en regla, estos se tomarán a cuenta de pago de derechos, a un importe de $4.28 por cada metro cúbico anual entregado.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d)  Si el fraccionamiento tiene predios destinados a uso diferente al doméstico, estos se calcularán conforme lo establece la fracción XIV de este artículo.</w:t>
      </w:r>
    </w:p>
    <w:p>
      <w:pPr>
        <w:pStyle w:val="85"/>
        <w:jc w:val="both"/>
        <w:rPr>
          <w:rFonts w:ascii="Verdana" w:hAnsi="Verdana" w:eastAsia="sans-serif"/>
          <w:sz w:val="20"/>
          <w:szCs w:val="20"/>
          <w:lang w:val="es-MX"/>
        </w:rPr>
      </w:pPr>
    </w:p>
    <w:p>
      <w:pPr>
        <w:pStyle w:val="85"/>
        <w:jc w:val="both"/>
        <w:rPr>
          <w:rFonts w:ascii="Verdana" w:hAnsi="Verdana"/>
          <w:sz w:val="20"/>
          <w:szCs w:val="20"/>
          <w:lang w:val="es-MX"/>
        </w:rPr>
      </w:pPr>
      <w:r>
        <w:rPr>
          <w:rFonts w:ascii="Verdana" w:hAnsi="Verdana" w:eastAsia="sans-serif"/>
          <w:sz w:val="20"/>
          <w:szCs w:val="20"/>
          <w:lang w:val="es-MX"/>
        </w:rPr>
        <w:t xml:space="preserve">e) </w:t>
      </w:r>
      <w:r>
        <w:rPr>
          <w:rFonts w:ascii="Verdana" w:hAnsi="Verdana"/>
          <w:sz w:val="20"/>
          <w:szCs w:val="20"/>
          <w:lang w:val="es-MX"/>
        </w:rPr>
        <w:t>Si a solicitud del organismo operador se requiriera una modificación a los proyectos y obras que el fraccionador deba construir como parte de sus obligaciones y estas tuvieran un importe mayor que el estimado, la diferencia podrá tomarse a cuenta del pago por incorporación, siempre y cuando la obra excedente tenga un beneficio adicional que represente un impacto social a las zonas urbanas del municipio de Moroleón, Guanajuato, de conformidad con los estudios técnicos que realice el organismo operador. Lo anterior se determinará de acuerdo con los convenios que para tal efecto se celebren.</w:t>
      </w:r>
    </w:p>
    <w:p>
      <w:pPr>
        <w:pStyle w:val="85"/>
        <w:jc w:val="both"/>
        <w:rPr>
          <w:rFonts w:ascii="Verdana" w:hAnsi="Verdana" w:eastAsia="sans-serif"/>
          <w:sz w:val="20"/>
          <w:szCs w:val="20"/>
          <w:lang w:val="es-MX"/>
        </w:rPr>
      </w:pPr>
    </w:p>
    <w:p>
      <w:pPr>
        <w:pStyle w:val="85"/>
        <w:jc w:val="both"/>
        <w:rPr>
          <w:rFonts w:ascii="Verdana" w:hAnsi="Verdana"/>
          <w:sz w:val="20"/>
          <w:szCs w:val="20"/>
          <w:lang w:val="es-MX"/>
        </w:rPr>
      </w:pPr>
      <w:r>
        <w:rPr>
          <w:rFonts w:ascii="Verdana" w:hAnsi="Verdana" w:eastAsia="sans-serif"/>
          <w:sz w:val="20"/>
          <w:szCs w:val="20"/>
          <w:lang w:val="es-MX"/>
        </w:rPr>
        <w:t xml:space="preserve">f)  </w:t>
      </w:r>
      <w:r>
        <w:rPr>
          <w:rFonts w:ascii="Verdana" w:hAnsi="Verdana"/>
          <w:sz w:val="20"/>
          <w:szCs w:val="20"/>
          <w:lang w:val="es-MX"/>
        </w:rPr>
        <w:t>En caso de que el excedente del costo de las obras de beneficio social sea superior al importe a pagar por incorporación, el desarrollador podrá solicitar que le sea reconocido en su favor, siempre y cuando la obra excedente haya sido oportunamente autorizada por el organismo operador.</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eastAsia="sans-serif"/>
          <w:sz w:val="20"/>
          <w:szCs w:val="20"/>
          <w:lang w:val="es-MX"/>
        </w:rPr>
        <w:t xml:space="preserve">g)  </w:t>
      </w:r>
      <w:r>
        <w:rPr>
          <w:rFonts w:ascii="Verdana" w:hAnsi="Verdana"/>
          <w:sz w:val="20"/>
          <w:szCs w:val="20"/>
          <w:lang w:val="es-MX"/>
        </w:rPr>
        <w:t>Para desarrollos que cuenten con fuente de abastecimiento propia, el organismo operador podrá recibir en el acto de la firma del convenio respectivo, una vez realizada la evaluación técnica y documental, aplicando la bonificación que resulte de los volúmenes de gasto a un valor de $115,307.80 el litro por segundo. Los litros por segundo a bonificar serán los que resulten de la conversión de los títulos entregados por el fraccionador o el gasto medio de las demandas del desarrollo, tomándose el que resulte mayor de los dos.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XIII.  Servicios operativos y administrativos para desarrollos inmobiliarios de todos los giros</w:t>
      </w:r>
    </w:p>
    <w:p>
      <w:pPr>
        <w:pStyle w:val="85"/>
        <w:jc w:val="both"/>
        <w:rPr>
          <w:rFonts w:ascii="Verdana" w:hAnsi="Verdana"/>
          <w:sz w:val="20"/>
          <w:szCs w:val="20"/>
          <w:lang w:val="es-MX"/>
        </w:rPr>
      </w:pPr>
      <w:r>
        <w:rPr>
          <w:rFonts w:ascii="Verdana" w:hAnsi="Verdana"/>
          <w:sz w:val="20"/>
          <w:szCs w:val="20"/>
          <w:lang w:val="es-MX"/>
        </w:rPr>
        <w:t>Carta de factibilidad habitacional. Para lotes destinados a fines habitacionales, el costo por la expedición de la carta de factibilidad será de $178.90 por lote o vivienda.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Carta de factibilidad no habitacional. Para desarrollos no habitacionales, deberán pagar un importe de $29,251.30 por cada litro por segundo, de acuerdo a la demanda que el solicitante requiera, calculado sobre la demanda máxima diaria.</w:t>
      </w:r>
    </w:p>
    <w:p>
      <w:pPr>
        <w:pStyle w:val="85"/>
        <w:jc w:val="both"/>
        <w:rPr>
          <w:rFonts w:ascii="Verdana" w:hAnsi="Verdana"/>
          <w:bCs/>
          <w:sz w:val="20"/>
          <w:szCs w:val="20"/>
          <w:lang w:val="es-MX"/>
        </w:rPr>
      </w:pPr>
    </w:p>
    <w:p>
      <w:pPr>
        <w:pStyle w:val="85"/>
        <w:jc w:val="both"/>
        <w:rPr>
          <w:rFonts w:ascii="Verdana" w:hAnsi="Verdana"/>
          <w:sz w:val="20"/>
          <w:szCs w:val="20"/>
          <w:lang w:val="es-MX"/>
        </w:rPr>
      </w:pPr>
      <w:r>
        <w:rPr>
          <w:rFonts w:ascii="Verdana" w:hAnsi="Verdana"/>
          <w:bCs/>
          <w:sz w:val="20"/>
          <w:szCs w:val="20"/>
          <w:lang w:val="es-MX"/>
        </w:rPr>
        <w:t>La carta de factibilidad</w:t>
      </w:r>
      <w:r>
        <w:rPr>
          <w:rFonts w:ascii="Verdana" w:hAnsi="Verdana"/>
          <w:sz w:val="20"/>
          <w:szCs w:val="20"/>
          <w:lang w:val="es-MX"/>
        </w:rPr>
        <w:t xml:space="preserve">  tendrá una vigencia de seis meses contados a partir de la fecha de expedición y terminada la vigencia el interesado deberá solicitar nueva expedición de la carta, la cual será analizada por el área técnica del organismo y la respuesta no necesariamente será positiva, estando sujeta a las condiciones de disponibilidad de agua en la zona en que se ubique el predio que se pretende desarrollar.</w:t>
      </w:r>
    </w:p>
    <w:p>
      <w:pPr>
        <w:pStyle w:val="85"/>
        <w:jc w:val="both"/>
        <w:rPr>
          <w:rFonts w:ascii="Verdana" w:hAnsi="Verdana"/>
          <w:sz w:val="20"/>
          <w:szCs w:val="20"/>
          <w:shd w:val="clear" w:color="auto" w:fill="FFFFFF"/>
          <w:lang w:val="es-MX"/>
        </w:rPr>
      </w:pPr>
    </w:p>
    <w:p>
      <w:pPr>
        <w:pStyle w:val="85"/>
        <w:jc w:val="both"/>
        <w:rPr>
          <w:rFonts w:ascii="Verdana" w:hAnsi="Verdana"/>
          <w:sz w:val="20"/>
          <w:szCs w:val="20"/>
          <w:lang w:val="es-MX"/>
        </w:rPr>
      </w:pPr>
      <w:r>
        <w:rPr>
          <w:rFonts w:ascii="Verdana" w:hAnsi="Verdana"/>
          <w:sz w:val="20"/>
          <w:szCs w:val="20"/>
          <w:shd w:val="clear" w:color="auto" w:fill="FFFFFF"/>
          <w:lang w:val="es-MX"/>
        </w:rPr>
        <w:t xml:space="preserve">Revisión de proyectos para usos habitacionales. </w:t>
      </w:r>
      <w:r>
        <w:rPr>
          <w:rFonts w:ascii="Verdana" w:hAnsi="Verdana"/>
          <w:sz w:val="20"/>
          <w:szCs w:val="20"/>
          <w:lang w:val="es-MX"/>
        </w:rPr>
        <w:t>La revisión de proyecto de lotes para vivienda se cobrará mediante un cargo base de $4,322.90 por los primeros 50 lotes y un cargo adicional de $20.58 por cada lote excedente. Para efectos de cobro por revisión se considerarán por separado los proyectos de agua potable y de alcantarillado, por lo que cada uno se cobrará de acuerdo al precio unitario aquí establecido.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Revisión de proyectos para usos no habitacionales. Se cobrará un cargo base de $4,322.90 por los primeros cien metros de longitud y un cargo variable a razón de $14.30 por metro lineal adicional del proyecto respectivo, y se cobrarán por separado los proyectos de agua potable y alcantarillado.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Supervisión de obras todos los giros. Para supervisión de obras de todos los giros, se cobrará a razón del 5% sobre el importe total de los servicios de incorporación que resulten del total de lotes o viviendas a incorporar tanto para usos habitacionales, como para aquellos de otros giros, antes de cualquier bonificación.</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Recepción de obras todos los giros. Por recepción de obras se cobrará un importe de $10.12 por metro lineal de la longitud que resulte de sumar las redes de agua y alcantarillado respecto a los tramos recibidos.</w:t>
      </w:r>
    </w:p>
    <w:p>
      <w:pPr>
        <w:pStyle w:val="85"/>
        <w:jc w:val="both"/>
        <w:rPr>
          <w:rFonts w:ascii="Verdana" w:hAnsi="Verdana" w:eastAsia="sans-serif"/>
          <w:sz w:val="20"/>
          <w:szCs w:val="20"/>
          <w:shd w:val="clear" w:color="auto" w:fill="FFFFFF"/>
          <w:lang w:val="es-MX"/>
        </w:rPr>
      </w:pPr>
    </w:p>
    <w:p>
      <w:pPr>
        <w:pStyle w:val="85"/>
        <w:jc w:val="both"/>
        <w:rPr>
          <w:rFonts w:ascii="Verdana" w:hAnsi="Verdana"/>
          <w:sz w:val="20"/>
          <w:szCs w:val="20"/>
          <w:lang w:val="es-MX"/>
        </w:rPr>
      </w:pPr>
      <w:r>
        <w:rPr>
          <w:rFonts w:ascii="Verdana" w:hAnsi="Verdana" w:eastAsia="sans-serif"/>
          <w:sz w:val="20"/>
          <w:szCs w:val="20"/>
          <w:shd w:val="clear" w:color="auto" w:fill="FFFFFF"/>
          <w:lang w:val="es-MX"/>
        </w:rPr>
        <w:t>XIV. Incorporaciones no habitacionales</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Tratándose de desarrollos distintos al doméstico, se cobrará en agua potable el importe que resulte de multiplicar el gasto máximo diario en litros por segundo que arroje el cálculo del proyecto, por el precio por litro por segundo contenido en el inciso a de esta fracción.</w:t>
      </w:r>
    </w:p>
    <w:p>
      <w:pPr>
        <w:pStyle w:val="85"/>
        <w:jc w:val="both"/>
        <w:rPr>
          <w:rFonts w:ascii="Verdana" w:hAnsi="Verdana"/>
          <w:sz w:val="20"/>
          <w:szCs w:val="20"/>
          <w:lang w:val="es-MX"/>
        </w:rPr>
      </w:pPr>
      <w:r>
        <w:rPr>
          <w:rFonts w:ascii="Verdana" w:hAnsi="Verdana"/>
          <w:sz w:val="20"/>
          <w:szCs w:val="20"/>
          <w:lang w:val="es-MX"/>
        </w:rPr>
        <w:t>La tributación de agua residual se considerará al 80% de lo que resulte del cálculo de demanda de agua potable y se multiplicará por el precio unitario del litro por segundo contenido en el inciso b de esta fracción.</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089"/>
        <w:gridCol w:w="1530"/>
        <w:gridCol w:w="176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Concepto</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val="es-MX" w:bidi="ar"/>
              </w:rPr>
            </w:pPr>
            <w:r>
              <w:rPr>
                <w:rFonts w:ascii="Verdana" w:hAnsi="Verdana"/>
                <w:b/>
                <w:bCs/>
                <w:sz w:val="20"/>
                <w:szCs w:val="20"/>
                <w:lang w:val="es-MX" w:bidi="ar"/>
              </w:rPr>
              <w:t>Importe</w:t>
            </w:r>
          </w:p>
        </w:tc>
        <w:tc>
          <w:tcPr>
            <w:tcW w:w="0" w:type="auto"/>
            <w:tcBorders>
              <w:top w:val="single" w:color="000000" w:sz="6" w:space="0"/>
              <w:left w:val="nil"/>
              <w:bottom w:val="single" w:color="000000" w:sz="6" w:space="0"/>
              <w:right w:val="single" w:color="000000" w:sz="6" w:space="0"/>
            </w:tcBorders>
            <w:vAlign w:val="center"/>
          </w:tcPr>
          <w:p>
            <w:pPr>
              <w:pStyle w:val="85"/>
              <w:jc w:val="center"/>
              <w:rPr>
                <w:rFonts w:ascii="Verdana" w:hAnsi="Verdana"/>
                <w:b/>
                <w:bCs/>
                <w:sz w:val="20"/>
                <w:szCs w:val="20"/>
                <w:lang w:bidi="ar"/>
              </w:rPr>
            </w:pPr>
            <w:r>
              <w:rPr>
                <w:rFonts w:ascii="Verdana" w:hAnsi="Verdana"/>
                <w:b/>
                <w:bCs/>
                <w:sz w:val="20"/>
                <w:szCs w:val="20"/>
                <w:lang w:bidi="ar"/>
              </w:rPr>
              <w:t>Unidad de medida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Incorporación de nuevos desarrollos a las redes de agua potable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$363,540.50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bCs/>
                <w:sz w:val="20"/>
                <w:szCs w:val="20"/>
                <w:lang w:bidi="ar"/>
              </w:rPr>
            </w:pPr>
          </w:p>
          <w:p>
            <w:pPr>
              <w:pStyle w:val="85"/>
              <w:jc w:val="both"/>
              <w:rPr>
                <w:rFonts w:ascii="Verdana" w:hAnsi="Verdana"/>
                <w:bCs/>
                <w:sz w:val="20"/>
                <w:szCs w:val="20"/>
                <w:lang w:bidi="ar"/>
              </w:rPr>
            </w:pPr>
            <w:r>
              <w:rPr>
                <w:rFonts w:ascii="Verdana" w:hAnsi="Verdana"/>
                <w:bCs/>
                <w:sz w:val="20"/>
                <w:szCs w:val="20"/>
                <w:lang w:bidi="ar"/>
              </w:rPr>
              <w:t>Litro/segundo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Incorporación de nuevos desarrollos a las redes de drenaje sanitario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$172,961.90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bCs/>
                <w:sz w:val="20"/>
                <w:szCs w:val="20"/>
                <w:lang w:bidi="ar"/>
              </w:rPr>
            </w:pPr>
          </w:p>
          <w:p>
            <w:pPr>
              <w:pStyle w:val="85"/>
              <w:jc w:val="both"/>
              <w:rPr>
                <w:rFonts w:ascii="Verdana" w:hAnsi="Verdana"/>
                <w:bCs/>
                <w:sz w:val="20"/>
                <w:szCs w:val="20"/>
                <w:lang w:bidi="ar"/>
              </w:rPr>
            </w:pPr>
            <w:r>
              <w:rPr>
                <w:rFonts w:ascii="Verdana" w:hAnsi="Verdana"/>
                <w:bCs/>
                <w:sz w:val="20"/>
                <w:szCs w:val="20"/>
                <w:lang w:bidi="ar"/>
              </w:rPr>
              <w:t>Litro/segundo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Para el cobro de títulos de explotación, el gasto calculado en litros por segundo se convertirá a metros cúbicos anuales y se cobrará a razón de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$4.28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cada metro cúbico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Si el usuario entrega títulos se le tomarán a cuenta del cobro expresado en el inciso a de esta fracción a un importe de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$4.28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metro cúbico anual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Cuando un usuario que habiendo obtenido factibilidad para toma doméstica cambie de giro, la base de demanda reconocida para su toma doméstica será de 0.01157 litros por segundo, gasto que se comparará con la demanda del nuevo giro y la diferencia se multiplicará por los precios contenidos en los incisos a, b y c de esta fracción, según corresponda, para determinar el importe a pagar</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p>
            <w:pPr>
              <w:pStyle w:val="85"/>
              <w:jc w:val="both"/>
              <w:rPr>
                <w:rFonts w:ascii="Verdana" w:hAnsi="Verdana"/>
                <w:bCs/>
                <w:sz w:val="20"/>
                <w:szCs w:val="20"/>
                <w:lang w:val="es-MX" w:bidi="ar"/>
              </w:rPr>
            </w:pPr>
          </w:p>
        </w:tc>
      </w:tr>
    </w:tbl>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cs="Verdana"/>
          <w:sz w:val="20"/>
          <w:szCs w:val="20"/>
          <w:lang w:val="es-MX"/>
        </w:rPr>
      </w:pPr>
      <w:r>
        <w:rPr>
          <w:rFonts w:ascii="Verdana" w:hAnsi="Verdana" w:cs="Verdana"/>
          <w:sz w:val="20"/>
          <w:szCs w:val="20"/>
          <w:lang w:val="es-MX"/>
        </w:rPr>
        <w:t>XV. Incorporación individual</w:t>
      </w:r>
    </w:p>
    <w:p>
      <w:pPr>
        <w:pStyle w:val="85"/>
        <w:jc w:val="both"/>
        <w:rPr>
          <w:rFonts w:ascii="Verdana" w:hAnsi="Verdana" w:cs="Verdana"/>
          <w:sz w:val="20"/>
          <w:szCs w:val="20"/>
          <w:lang w:val="es-MX"/>
        </w:rPr>
      </w:pPr>
    </w:p>
    <w:p>
      <w:pPr>
        <w:pStyle w:val="85"/>
        <w:jc w:val="both"/>
        <w:rPr>
          <w:rFonts w:ascii="Verdana" w:hAnsi="Verdana"/>
          <w:sz w:val="20"/>
          <w:szCs w:val="20"/>
          <w:lang w:val="es-MX"/>
        </w:rPr>
      </w:pPr>
      <w:r>
        <w:rPr>
          <w:rFonts w:ascii="Verdana" w:hAnsi="Verdana"/>
          <w:sz w:val="20"/>
          <w:szCs w:val="20"/>
          <w:lang w:val="es-MX"/>
        </w:rPr>
        <w:t>Tratándose de lotes para construcción de vivienda unifamiliar o en casos de construcción de nuevas viviendas en colonias incorporadas al organismo operador, se cobrará por vivienda un importe por la incorporación a las redes de agua potable y drenaje, de acuerdo a la siguiente tabla: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855"/>
        <w:gridCol w:w="1562"/>
        <w:gridCol w:w="1276"/>
        <w:gridCol w:w="1276"/>
      </w:tblGrid>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Tipo de vivienda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Agua potable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Drenaje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Total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a)</w:t>
            </w:r>
            <w:r>
              <w:rPr>
                <w:rFonts w:ascii="Verdana" w:hAnsi="Verdana"/>
                <w:sz w:val="20"/>
                <w:szCs w:val="20"/>
                <w:lang w:val="es-MX" w:bidi="ar"/>
              </w:rPr>
              <w:t xml:space="preserve"> Popular o interés social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$2,702.70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$1,005.70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$3,708.40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b)</w:t>
            </w:r>
            <w:r>
              <w:rPr>
                <w:rFonts w:ascii="Verdana" w:hAnsi="Verdana"/>
                <w:sz w:val="20"/>
                <w:szCs w:val="20"/>
                <w:lang w:bidi="ar"/>
              </w:rPr>
              <w:t xml:space="preserve"> Residencial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$3,815.10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$1,617.90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$5,433.00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c)</w:t>
            </w:r>
            <w:r>
              <w:rPr>
                <w:rFonts w:ascii="Verdana" w:hAnsi="Verdana"/>
                <w:sz w:val="20"/>
                <w:szCs w:val="20"/>
                <w:lang w:bidi="ar"/>
              </w:rPr>
              <w:t xml:space="preserve"> Campestre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$6,159.40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$6,159.40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Para la incorporación individual de giros diferentes al doméstico, se realizará un análisis de demandas y se cobrará conforme al gasto máximo diario y al precio litro/segundo contenido en esta Ley.</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r>
        <w:rPr>
          <w:rFonts w:ascii="Verdana" w:hAnsi="Verdana"/>
          <w:sz w:val="20"/>
          <w:szCs w:val="20"/>
          <w:lang w:val="es-MX"/>
        </w:rPr>
        <w:t>XVI. Por la venta de agua tratada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998"/>
        <w:gridCol w:w="938"/>
        <w:gridCol w:w="104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Concepto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Unidad</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Importe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Suministro de agua tratada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m³</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$4.67</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 xml:space="preserve">XVII. Por descargas de contaminantes de usuarios no domésticos en aguas residuales que excedan los límites establecidos en la NOM-002-SEMARNAT-1996 </w:t>
      </w:r>
    </w:p>
    <w:p>
      <w:pPr>
        <w:pStyle w:val="85"/>
        <w:jc w:val="both"/>
        <w:rPr>
          <w:rFonts w:ascii="Verdana" w:hAnsi="Verdana"/>
          <w:sz w:val="20"/>
          <w:szCs w:val="20"/>
          <w:lang w:val="es-MX"/>
        </w:rPr>
      </w:pPr>
      <w:r>
        <w:rPr>
          <w:rFonts w:ascii="Verdana" w:hAnsi="Verdana"/>
          <w:sz w:val="20"/>
          <w:szCs w:val="20"/>
          <w:lang w:val="es-MX"/>
        </w:rPr>
        <w:t>Miligramos de descarga contaminante por litro de sólidos suspendidos totales o demanda bioquímica de oxígeno:</w:t>
      </w:r>
    </w:p>
    <w:p>
      <w:pPr>
        <w:pStyle w:val="85"/>
        <w:jc w:val="both"/>
        <w:rPr>
          <w:rFonts w:ascii="Verdana" w:hAnsi="Verdana"/>
          <w:sz w:val="20"/>
          <w:szCs w:val="20"/>
          <w:lang w:val="es-MX"/>
        </w:rPr>
      </w:pPr>
    </w:p>
    <w:tbl>
      <w:tblPr>
        <w:tblStyle w:val="12"/>
        <w:tblW w:w="5000" w:type="pct"/>
        <w:jc w:val="center"/>
        <w:tblLayout w:type="autofit"/>
        <w:tblCellMar>
          <w:top w:w="0" w:type="dxa"/>
          <w:left w:w="70" w:type="dxa"/>
          <w:bottom w:w="0" w:type="dxa"/>
          <w:right w:w="70" w:type="dxa"/>
        </w:tblCellMar>
      </w:tblPr>
      <w:tblGrid>
        <w:gridCol w:w="4678"/>
        <w:gridCol w:w="4726"/>
      </w:tblGrid>
      <w:tr>
        <w:tblPrEx>
          <w:tblCellMar>
            <w:top w:w="0" w:type="dxa"/>
            <w:left w:w="70" w:type="dxa"/>
            <w:bottom w:w="0" w:type="dxa"/>
            <w:right w:w="70" w:type="dxa"/>
          </w:tblCellMar>
        </w:tblPrEx>
        <w:trPr>
          <w:jc w:val="center"/>
        </w:trPr>
        <w:tc>
          <w:tcPr>
            <w:tcW w:w="2487" w:type="pct"/>
          </w:tcPr>
          <w:p>
            <w:pPr>
              <w:pStyle w:val="85"/>
              <w:jc w:val="both"/>
              <w:rPr>
                <w:rFonts w:ascii="Verdana" w:hAnsi="Verdana"/>
                <w:bCs/>
                <w:sz w:val="20"/>
                <w:szCs w:val="20"/>
              </w:rPr>
            </w:pPr>
            <w:r>
              <w:rPr>
                <w:rFonts w:ascii="Verdana" w:hAnsi="Verdana"/>
                <w:bCs/>
                <w:sz w:val="20"/>
                <w:szCs w:val="20"/>
                <w:lang w:val="es-MX"/>
              </w:rPr>
              <w:t xml:space="preserve">                    </w:t>
            </w:r>
            <w:r>
              <w:rPr>
                <w:rFonts w:ascii="Verdana" w:hAnsi="Verdana"/>
                <w:bCs/>
                <w:sz w:val="20"/>
                <w:szCs w:val="20"/>
              </w:rPr>
              <w:t>Carga</w:t>
            </w:r>
          </w:p>
        </w:tc>
        <w:tc>
          <w:tcPr>
            <w:tcW w:w="2513" w:type="pct"/>
          </w:tcPr>
          <w:p>
            <w:pPr>
              <w:pStyle w:val="85"/>
              <w:jc w:val="both"/>
              <w:rPr>
                <w:rFonts w:ascii="Verdana" w:hAnsi="Verdana"/>
                <w:sz w:val="20"/>
                <w:szCs w:val="20"/>
              </w:rPr>
            </w:pPr>
            <w:r>
              <w:rPr>
                <w:rFonts w:ascii="Verdana" w:hAnsi="Verdana"/>
                <w:sz w:val="20"/>
                <w:szCs w:val="20"/>
              </w:rPr>
              <w:t xml:space="preserve">                         Importe</w:t>
            </w:r>
          </w:p>
        </w:tc>
      </w:tr>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sz w:val="20"/>
                <w:szCs w:val="20"/>
              </w:rPr>
              <w:t>De 1 a 300</w:t>
            </w:r>
          </w:p>
        </w:tc>
        <w:tc>
          <w:tcPr>
            <w:tcW w:w="2513" w:type="pct"/>
          </w:tcPr>
          <w:p>
            <w:pPr>
              <w:pStyle w:val="85"/>
              <w:jc w:val="both"/>
              <w:rPr>
                <w:rFonts w:ascii="Verdana" w:hAnsi="Verdana"/>
                <w:sz w:val="20"/>
                <w:szCs w:val="20"/>
              </w:rPr>
            </w:pPr>
            <w:r>
              <w:rPr>
                <w:rFonts w:ascii="Verdana" w:hAnsi="Verdana"/>
                <w:sz w:val="20"/>
                <w:szCs w:val="20"/>
              </w:rPr>
              <w:t>14% sobre el monto facturado</w:t>
            </w:r>
          </w:p>
        </w:tc>
      </w:tr>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sz w:val="20"/>
                <w:szCs w:val="20"/>
              </w:rPr>
              <w:t>De 301 a 2,000</w:t>
            </w:r>
          </w:p>
        </w:tc>
        <w:tc>
          <w:tcPr>
            <w:tcW w:w="2513" w:type="pct"/>
          </w:tcPr>
          <w:p>
            <w:pPr>
              <w:pStyle w:val="85"/>
              <w:jc w:val="both"/>
              <w:rPr>
                <w:rFonts w:ascii="Verdana" w:hAnsi="Verdana"/>
                <w:sz w:val="20"/>
                <w:szCs w:val="20"/>
              </w:rPr>
            </w:pPr>
            <w:r>
              <w:rPr>
                <w:rFonts w:ascii="Verdana" w:hAnsi="Verdana"/>
                <w:sz w:val="20"/>
                <w:szCs w:val="20"/>
              </w:rPr>
              <w:t>18% sobre el monto facturado</w:t>
            </w:r>
          </w:p>
        </w:tc>
      </w:tr>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sz w:val="20"/>
                <w:szCs w:val="20"/>
              </w:rPr>
              <w:t>Más de 2,000</w:t>
            </w:r>
          </w:p>
        </w:tc>
        <w:tc>
          <w:tcPr>
            <w:tcW w:w="2513" w:type="pct"/>
          </w:tcPr>
          <w:p>
            <w:pPr>
              <w:pStyle w:val="85"/>
              <w:jc w:val="both"/>
              <w:rPr>
                <w:rFonts w:ascii="Verdana" w:hAnsi="Verdana"/>
                <w:sz w:val="20"/>
                <w:szCs w:val="20"/>
              </w:rPr>
            </w:pPr>
            <w:r>
              <w:rPr>
                <w:rFonts w:ascii="Verdana" w:hAnsi="Verdana"/>
                <w:sz w:val="20"/>
                <w:szCs w:val="20"/>
              </w:rPr>
              <w:t>20% sobre el monto facturado</w:t>
            </w:r>
          </w:p>
        </w:tc>
      </w:tr>
    </w:tbl>
    <w:p>
      <w:pPr>
        <w:pStyle w:val="85"/>
        <w:jc w:val="both"/>
        <w:rPr>
          <w:rFonts w:ascii="Verdana" w:hAnsi="Verdana"/>
          <w:sz w:val="20"/>
          <w:szCs w:val="20"/>
        </w:rPr>
      </w:pPr>
    </w:p>
    <w:p>
      <w:pPr>
        <w:pStyle w:val="85"/>
        <w:jc w:val="both"/>
        <w:rPr>
          <w:rFonts w:ascii="Verdana" w:hAnsi="Verdana"/>
          <w:sz w:val="20"/>
          <w:szCs w:val="20"/>
          <w:lang w:val="es-MX"/>
        </w:rPr>
      </w:pPr>
      <w:r>
        <w:rPr>
          <w:rFonts w:ascii="Verdana" w:hAnsi="Verdana"/>
          <w:sz w:val="20"/>
          <w:szCs w:val="20"/>
          <w:lang w:val="es-MX"/>
        </w:rPr>
        <w:t>Por metro cúbico descargado con PH (potencial de hidrógeno) fuera del rango permisible:</w:t>
      </w:r>
    </w:p>
    <w:p>
      <w:pPr>
        <w:pStyle w:val="85"/>
        <w:jc w:val="both"/>
        <w:rPr>
          <w:rFonts w:ascii="Verdana" w:hAnsi="Verdana"/>
          <w:sz w:val="20"/>
          <w:szCs w:val="20"/>
          <w:lang w:val="es-MX"/>
        </w:rPr>
      </w:pPr>
    </w:p>
    <w:tbl>
      <w:tblPr>
        <w:tblStyle w:val="12"/>
        <w:tblW w:w="5000" w:type="pct"/>
        <w:jc w:val="center"/>
        <w:tblLayout w:type="autofit"/>
        <w:tblCellMar>
          <w:top w:w="0" w:type="dxa"/>
          <w:left w:w="70" w:type="dxa"/>
          <w:bottom w:w="0" w:type="dxa"/>
          <w:right w:w="70" w:type="dxa"/>
        </w:tblCellMar>
      </w:tblPr>
      <w:tblGrid>
        <w:gridCol w:w="4678"/>
        <w:gridCol w:w="4726"/>
      </w:tblGrid>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sz w:val="20"/>
                <w:szCs w:val="20"/>
              </w:rPr>
              <w:t>Unidad</w:t>
            </w:r>
          </w:p>
        </w:tc>
        <w:tc>
          <w:tcPr>
            <w:tcW w:w="2513" w:type="pct"/>
          </w:tcPr>
          <w:p>
            <w:pPr>
              <w:pStyle w:val="85"/>
              <w:jc w:val="both"/>
              <w:rPr>
                <w:rFonts w:ascii="Verdana" w:hAnsi="Verdana"/>
                <w:sz w:val="20"/>
                <w:szCs w:val="20"/>
              </w:rPr>
            </w:pPr>
            <w:r>
              <w:rPr>
                <w:rFonts w:ascii="Verdana" w:hAnsi="Verdana"/>
                <w:sz w:val="20"/>
                <w:szCs w:val="20"/>
              </w:rPr>
              <w:t>Importe</w:t>
            </w:r>
          </w:p>
        </w:tc>
      </w:tr>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bCs/>
                <w:sz w:val="20"/>
                <w:szCs w:val="20"/>
              </w:rPr>
              <w:t xml:space="preserve">                       m</w:t>
            </w:r>
            <w:r>
              <w:rPr>
                <w:rFonts w:ascii="Verdana" w:hAnsi="Verdana"/>
                <w:bCs/>
                <w:sz w:val="20"/>
                <w:szCs w:val="20"/>
                <w:vertAlign w:val="superscript"/>
              </w:rPr>
              <w:t>3</w:t>
            </w:r>
          </w:p>
        </w:tc>
        <w:tc>
          <w:tcPr>
            <w:tcW w:w="2513" w:type="pct"/>
          </w:tcPr>
          <w:p>
            <w:pPr>
              <w:pStyle w:val="85"/>
              <w:jc w:val="both"/>
              <w:rPr>
                <w:rFonts w:ascii="Verdana" w:hAnsi="Verdana"/>
                <w:sz w:val="20"/>
                <w:szCs w:val="20"/>
              </w:rPr>
            </w:pPr>
            <w:r>
              <w:rPr>
                <w:rFonts w:ascii="Verdana" w:hAnsi="Verdana"/>
                <w:sz w:val="20"/>
                <w:szCs w:val="20"/>
              </w:rPr>
              <w:t>$0.32</w:t>
            </w:r>
          </w:p>
          <w:p>
            <w:pPr>
              <w:pStyle w:val="85"/>
              <w:jc w:val="both"/>
              <w:rPr>
                <w:rFonts w:ascii="Verdana" w:hAnsi="Verdana"/>
                <w:sz w:val="20"/>
                <w:szCs w:val="20"/>
              </w:rPr>
            </w:pPr>
          </w:p>
        </w:tc>
      </w:tr>
    </w:tbl>
    <w:p>
      <w:pPr>
        <w:pStyle w:val="85"/>
        <w:jc w:val="both"/>
        <w:rPr>
          <w:rFonts w:ascii="Verdana" w:hAnsi="Verdana"/>
          <w:sz w:val="20"/>
          <w:szCs w:val="20"/>
          <w:lang w:val="es-MX"/>
        </w:rPr>
      </w:pPr>
      <w:r>
        <w:rPr>
          <w:rFonts w:ascii="Verdana" w:hAnsi="Verdana"/>
          <w:sz w:val="20"/>
          <w:szCs w:val="20"/>
          <w:lang w:val="es-MX"/>
        </w:rPr>
        <w:t>Por kilogramo de grasas y aceites que exceda los límites establecidos en las condiciones particulares de descarga:</w:t>
      </w:r>
    </w:p>
    <w:p>
      <w:pPr>
        <w:pStyle w:val="85"/>
        <w:jc w:val="both"/>
        <w:rPr>
          <w:rFonts w:ascii="Verdana" w:hAnsi="Verdana"/>
          <w:sz w:val="20"/>
          <w:szCs w:val="20"/>
          <w:lang w:val="es-MX"/>
        </w:rPr>
      </w:pPr>
    </w:p>
    <w:tbl>
      <w:tblPr>
        <w:tblStyle w:val="12"/>
        <w:tblW w:w="5000" w:type="pct"/>
        <w:jc w:val="center"/>
        <w:tblLayout w:type="autofit"/>
        <w:tblCellMar>
          <w:top w:w="0" w:type="dxa"/>
          <w:left w:w="70" w:type="dxa"/>
          <w:bottom w:w="0" w:type="dxa"/>
          <w:right w:w="70" w:type="dxa"/>
        </w:tblCellMar>
      </w:tblPr>
      <w:tblGrid>
        <w:gridCol w:w="4678"/>
        <w:gridCol w:w="4726"/>
      </w:tblGrid>
      <w:tr>
        <w:tblPrEx>
          <w:tblCellMar>
            <w:top w:w="0" w:type="dxa"/>
            <w:left w:w="70" w:type="dxa"/>
            <w:bottom w:w="0" w:type="dxa"/>
            <w:right w:w="70" w:type="dxa"/>
          </w:tblCellMar>
        </w:tblPrEx>
        <w:trPr>
          <w:jc w:val="center"/>
        </w:trPr>
        <w:tc>
          <w:tcPr>
            <w:tcW w:w="2487" w:type="pct"/>
          </w:tcPr>
          <w:p>
            <w:pPr>
              <w:pStyle w:val="85"/>
              <w:jc w:val="both"/>
              <w:rPr>
                <w:rFonts w:ascii="Verdana" w:hAnsi="Verdana"/>
                <w:bCs/>
                <w:sz w:val="20"/>
                <w:szCs w:val="20"/>
              </w:rPr>
            </w:pPr>
            <w:r>
              <w:rPr>
                <w:rFonts w:ascii="Verdana" w:hAnsi="Verdana"/>
                <w:bCs/>
                <w:sz w:val="20"/>
                <w:szCs w:val="20"/>
              </w:rPr>
              <w:t>Unidad</w:t>
            </w:r>
          </w:p>
        </w:tc>
        <w:tc>
          <w:tcPr>
            <w:tcW w:w="2513" w:type="pct"/>
          </w:tcPr>
          <w:p>
            <w:pPr>
              <w:pStyle w:val="85"/>
              <w:jc w:val="both"/>
              <w:rPr>
                <w:rFonts w:ascii="Verdana" w:hAnsi="Verdana"/>
                <w:bCs/>
                <w:sz w:val="20"/>
                <w:szCs w:val="20"/>
              </w:rPr>
            </w:pPr>
            <w:r>
              <w:rPr>
                <w:rFonts w:ascii="Verdana" w:hAnsi="Verdana"/>
                <w:bCs/>
                <w:sz w:val="20"/>
                <w:szCs w:val="20"/>
              </w:rPr>
              <w:t>Importe</w:t>
            </w:r>
          </w:p>
        </w:tc>
      </w:tr>
      <w:tr>
        <w:tblPrEx>
          <w:tblCellMar>
            <w:top w:w="0" w:type="dxa"/>
            <w:left w:w="70" w:type="dxa"/>
            <w:bottom w:w="0" w:type="dxa"/>
            <w:right w:w="70" w:type="dxa"/>
          </w:tblCellMar>
        </w:tblPrEx>
        <w:trPr>
          <w:jc w:val="center"/>
        </w:trPr>
        <w:tc>
          <w:tcPr>
            <w:tcW w:w="2487" w:type="pct"/>
          </w:tcPr>
          <w:p>
            <w:pPr>
              <w:pStyle w:val="85"/>
              <w:jc w:val="both"/>
              <w:rPr>
                <w:rFonts w:ascii="Verdana" w:hAnsi="Verdana"/>
                <w:sz w:val="20"/>
                <w:szCs w:val="20"/>
              </w:rPr>
            </w:pPr>
            <w:r>
              <w:rPr>
                <w:rFonts w:ascii="Verdana" w:hAnsi="Verdana"/>
                <w:sz w:val="20"/>
                <w:szCs w:val="20"/>
              </w:rPr>
              <w:t xml:space="preserve">                   Kilogramo</w:t>
            </w:r>
          </w:p>
        </w:tc>
        <w:tc>
          <w:tcPr>
            <w:tcW w:w="2513" w:type="pct"/>
          </w:tcPr>
          <w:p>
            <w:pPr>
              <w:pStyle w:val="85"/>
              <w:jc w:val="both"/>
              <w:rPr>
                <w:rFonts w:ascii="Verdana" w:hAnsi="Verdana"/>
                <w:sz w:val="20"/>
                <w:szCs w:val="20"/>
              </w:rPr>
            </w:pPr>
            <w:r>
              <w:rPr>
                <w:rFonts w:ascii="Verdana" w:hAnsi="Verdana"/>
                <w:sz w:val="20"/>
                <w:szCs w:val="20"/>
              </w:rPr>
              <w:t>$0.42</w:t>
            </w:r>
          </w:p>
        </w:tc>
      </w:tr>
    </w:tbl>
    <w:p>
      <w:pPr>
        <w:pStyle w:val="85"/>
        <w:jc w:val="both"/>
        <w:rPr>
          <w:rStyle w:val="223"/>
          <w:rFonts w:ascii="Verdana" w:hAnsi="Verdana" w:cs="Arial"/>
          <w:sz w:val="20"/>
          <w:szCs w:val="20"/>
        </w:rPr>
      </w:pPr>
    </w:p>
    <w:p>
      <w:pPr>
        <w:pStyle w:val="85"/>
        <w:jc w:val="center"/>
        <w:rPr>
          <w:rFonts w:ascii="Verdana" w:hAnsi="Verdana"/>
          <w:sz w:val="20"/>
          <w:szCs w:val="20"/>
          <w:lang w:val="es-MX"/>
        </w:rPr>
      </w:pPr>
      <w:r>
        <w:rPr>
          <w:rStyle w:val="223"/>
          <w:rFonts w:ascii="Verdana" w:hAnsi="Verdana" w:cs="Arial"/>
          <w:sz w:val="20"/>
          <w:szCs w:val="20"/>
          <w:lang w:val="es-MX"/>
        </w:rPr>
        <w:t>SECCIÓN SEGUNDA</w:t>
      </w:r>
      <w:r>
        <w:rPr>
          <w:rStyle w:val="223"/>
          <w:rFonts w:ascii="Verdana" w:hAnsi="Verdana" w:cs="Arial"/>
          <w:sz w:val="20"/>
          <w:szCs w:val="20"/>
          <w:lang w:val="es-MX"/>
        </w:rPr>
        <w:br w:type="textWrapping"/>
      </w:r>
      <w:r>
        <w:rPr>
          <w:rStyle w:val="223"/>
          <w:rFonts w:ascii="Verdana" w:hAnsi="Verdana" w:cs="Arial"/>
          <w:sz w:val="20"/>
          <w:szCs w:val="20"/>
          <w:lang w:val="es-MX"/>
        </w:rPr>
        <w:t>SERVICIOS DE LIMPIA, RECOLECCIÓN, TRASLADO, TRATAMIENTO Y DISPOSICIÓN FINAL DE RESIDUOS</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15</w:t>
      </w:r>
      <w:r>
        <w:rPr>
          <w:rFonts w:ascii="Verdana" w:hAnsi="Verdana"/>
          <w:sz w:val="20"/>
          <w:szCs w:val="20"/>
          <w:lang w:val="es-MX"/>
        </w:rPr>
        <w:t>. La prestación de los servicios de limpia, recolección y traslado de residuos será gratuita, salvo lo dispuesto por este artículo.</w:t>
      </w:r>
    </w:p>
    <w:p>
      <w:pPr>
        <w:pStyle w:val="85"/>
        <w:jc w:val="both"/>
        <w:rPr>
          <w:rFonts w:ascii="Verdana" w:hAnsi="Verdana"/>
          <w:sz w:val="20"/>
          <w:szCs w:val="20"/>
          <w:lang w:val="es-MX"/>
        </w:rPr>
      </w:pPr>
      <w:r>
        <w:rPr>
          <w:rFonts w:ascii="Verdana" w:hAnsi="Verdana"/>
          <w:sz w:val="20"/>
          <w:szCs w:val="20"/>
          <w:lang w:val="es-MX"/>
        </w:rPr>
        <w:t xml:space="preserve"> Los derechos por los servicios de limpia, recolección y traslado de residuos, cuando medie solicitud,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744"/>
        <w:gridCol w:w="1076"/>
        <w:gridCol w:w="156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Recolección y traslado de residuos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$39.96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m³</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servicio adicional, excedente de 30 kilogramos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kilogramo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Limpia de baldíos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Recolección de residuos y desperdicios de materiales de construcción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$203.29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m³</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Depósito de residuos sólidos no peligrosos en el Relleno Sanitario Municipal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$73.99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tonelada</w:t>
            </w:r>
          </w:p>
        </w:tc>
      </w:tr>
    </w:tbl>
    <w:p>
      <w:pPr>
        <w:pStyle w:val="85"/>
        <w:jc w:val="both"/>
        <w:rPr>
          <w:rFonts w:ascii="Verdana" w:hAnsi="Verdana"/>
          <w:sz w:val="20"/>
          <w:szCs w:val="20"/>
        </w:rPr>
      </w:pPr>
      <w:r>
        <w:rPr>
          <w:rFonts w:ascii="Verdana" w:hAnsi="Verdana"/>
          <w:sz w:val="20"/>
          <w:szCs w:val="20"/>
        </w:rPr>
        <w:t xml:space="preserve">  </w:t>
      </w:r>
    </w:p>
    <w:p>
      <w:pPr>
        <w:pStyle w:val="85"/>
        <w:jc w:val="center"/>
        <w:rPr>
          <w:rFonts w:ascii="Verdana" w:hAnsi="Verdana"/>
          <w:sz w:val="20"/>
          <w:szCs w:val="20"/>
        </w:rPr>
      </w:pPr>
      <w:r>
        <w:rPr>
          <w:rStyle w:val="223"/>
          <w:rFonts w:ascii="Verdana" w:hAnsi="Verdana" w:cs="Arial"/>
          <w:sz w:val="20"/>
          <w:szCs w:val="20"/>
        </w:rPr>
        <w:t>SECCIÓN TERCERA</w:t>
      </w:r>
      <w:r>
        <w:rPr>
          <w:rStyle w:val="223"/>
          <w:rFonts w:ascii="Verdana" w:hAnsi="Verdana" w:cs="Arial"/>
          <w:sz w:val="20"/>
          <w:szCs w:val="20"/>
        </w:rPr>
        <w:br w:type="textWrapping"/>
      </w:r>
      <w:r>
        <w:rPr>
          <w:rStyle w:val="223"/>
          <w:rFonts w:ascii="Verdana" w:hAnsi="Verdana" w:cs="Arial"/>
          <w:sz w:val="20"/>
          <w:szCs w:val="20"/>
        </w:rPr>
        <w:t>SERVICIOS DE PANTEONES</w:t>
      </w:r>
    </w:p>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16</w:t>
      </w:r>
      <w:r>
        <w:rPr>
          <w:rFonts w:ascii="Verdana" w:hAnsi="Verdana"/>
          <w:sz w:val="20"/>
          <w:szCs w:val="20"/>
          <w:lang w:val="es-MX"/>
        </w:rPr>
        <w:t>. Los derechos por la prestación del servicio público de panteones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7985"/>
        <w:gridCol w:w="1403"/>
      </w:tblGrid>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Inhumaciones en fosas o gavetas: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fosa común sin caja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Exento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fosa común con caja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un quinquenio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$412.82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A perpetuidad</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$1,422.29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fosas separadas, de privilegio y construidas por el interesado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$438.07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Depósito de restos en fosa con derechos pagados a perpetuidad</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$986.79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Licencia para colocar lápida en fosa o gaveta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$275.05</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Licencia para construcción de monumentos en panteones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$275.05</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el traslado de cadáveres para inhumación fuera del Municipio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$329.43</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Queda exento el pago por el permiso para el traslado de cadáveres de la ciudad de Moroleón a la ciudad de Uriangato.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la cremación de cadáveres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$451.98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la colocación de floreros, libros, retablos y cruces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colocación de planchas y losas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remodelación de gavetas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$275.05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Lote de tres gavetas bajo tierra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$18,963.32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Lote de dos gavetas murales bajo tierra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$6,978.80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Gaveta mural aérea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$7,560.55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Cuarta gaveta en cripta familiar con derechos a perpetuidad</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$1,449.87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construir sobre gaveta o fosa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$355.86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Exhumación de restos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$489.52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cesión de derechos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$198.92</w:t>
            </w:r>
          </w:p>
        </w:tc>
      </w:tr>
    </w:tbl>
    <w:p>
      <w:pPr>
        <w:pStyle w:val="85"/>
        <w:jc w:val="center"/>
        <w:rPr>
          <w:rFonts w:ascii="Verdana" w:hAnsi="Verdana"/>
          <w:sz w:val="20"/>
          <w:szCs w:val="20"/>
          <w:lang w:val="es-MX"/>
        </w:rPr>
      </w:pPr>
      <w:r>
        <w:rPr>
          <w:rStyle w:val="223"/>
          <w:rFonts w:ascii="Verdana" w:hAnsi="Verdana" w:cs="Arial"/>
          <w:sz w:val="20"/>
          <w:szCs w:val="20"/>
          <w:lang w:val="es-MX"/>
        </w:rPr>
        <w:t>SECCIÓN CUARTA</w:t>
      </w:r>
      <w:r>
        <w:rPr>
          <w:rStyle w:val="223"/>
          <w:rFonts w:ascii="Verdana" w:hAnsi="Verdana" w:cs="Arial"/>
          <w:sz w:val="20"/>
          <w:szCs w:val="20"/>
          <w:lang w:val="es-MX"/>
        </w:rPr>
        <w:br w:type="textWrapping"/>
      </w:r>
      <w:r>
        <w:rPr>
          <w:rStyle w:val="223"/>
          <w:rFonts w:ascii="Verdana" w:hAnsi="Verdana" w:cs="Arial"/>
          <w:sz w:val="20"/>
          <w:szCs w:val="20"/>
          <w:lang w:val="es-MX"/>
        </w:rPr>
        <w:t>SERVICIOS DE SEGURIDAD PÚBLICA</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17</w:t>
      </w:r>
      <w:r>
        <w:rPr>
          <w:rFonts w:ascii="Verdana" w:hAnsi="Verdana"/>
          <w:sz w:val="20"/>
          <w:szCs w:val="20"/>
          <w:lang w:val="es-MX"/>
        </w:rPr>
        <w:t>. Los derechos por la prestación de los servicios de seguridad pública cuando medie solicitud, se causarán y liquidarán por elemento policial,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5872"/>
        <w:gridCol w:w="140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dependencias o instituciones, por mes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$10,520.62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eventos particulares, por evento no mayor a 8 horas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$602.49</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Style w:val="223"/>
          <w:rFonts w:ascii="Verdana" w:hAnsi="Verdana"/>
          <w:sz w:val="20"/>
          <w:szCs w:val="20"/>
          <w:lang w:val="es-MX"/>
        </w:rPr>
        <w:t>Artículo 18</w:t>
      </w:r>
      <w:r>
        <w:rPr>
          <w:rFonts w:ascii="Verdana" w:hAnsi="Verdana"/>
          <w:sz w:val="20"/>
          <w:szCs w:val="20"/>
          <w:lang w:val="es-MX"/>
        </w:rPr>
        <w:t xml:space="preserve">. Por los derechos para obtener el permiso o anuencia municipal para la prestación de los servicios de seguridad privada que soliciten las empresas se pagará anualmente una cuota de $1,263.71. </w:t>
      </w:r>
    </w:p>
    <w:p>
      <w:pPr>
        <w:pStyle w:val="85"/>
        <w:jc w:val="both"/>
        <w:rPr>
          <w:rStyle w:val="223"/>
          <w:rFonts w:ascii="Verdana" w:hAnsi="Verdana" w:cs="Arial"/>
          <w:sz w:val="20"/>
          <w:szCs w:val="20"/>
          <w:lang w:val="es-MX"/>
        </w:rPr>
      </w:pPr>
    </w:p>
    <w:p>
      <w:pPr>
        <w:pStyle w:val="85"/>
        <w:jc w:val="center"/>
        <w:rPr>
          <w:rStyle w:val="223"/>
          <w:rFonts w:ascii="Verdana" w:hAnsi="Verdana" w:cs="Arial"/>
          <w:sz w:val="20"/>
          <w:szCs w:val="20"/>
          <w:lang w:val="es-MX"/>
        </w:rPr>
      </w:pPr>
      <w:r>
        <w:rPr>
          <w:rStyle w:val="223"/>
          <w:rFonts w:ascii="Verdana" w:hAnsi="Verdana" w:cs="Arial"/>
          <w:sz w:val="20"/>
          <w:szCs w:val="20"/>
          <w:lang w:val="es-MX"/>
        </w:rPr>
        <w:t>SECCIÓN QUINTA</w:t>
      </w:r>
      <w:r>
        <w:rPr>
          <w:rStyle w:val="223"/>
          <w:rFonts w:ascii="Verdana" w:hAnsi="Verdana" w:cs="Arial"/>
          <w:sz w:val="20"/>
          <w:szCs w:val="20"/>
          <w:lang w:val="es-MX"/>
        </w:rPr>
        <w:br w:type="textWrapping"/>
      </w:r>
      <w:r>
        <w:rPr>
          <w:rStyle w:val="223"/>
          <w:rFonts w:ascii="Verdana" w:hAnsi="Verdana" w:cs="Arial"/>
          <w:sz w:val="20"/>
          <w:szCs w:val="20"/>
          <w:lang w:val="es-MX"/>
        </w:rPr>
        <w:t>SERVICIO DE TRANSPORTE PÚBLICO URBANO Y</w:t>
      </w:r>
    </w:p>
    <w:p>
      <w:pPr>
        <w:pStyle w:val="85"/>
        <w:jc w:val="center"/>
        <w:rPr>
          <w:rStyle w:val="223"/>
          <w:rFonts w:ascii="Verdana" w:hAnsi="Verdana" w:cs="Arial"/>
          <w:sz w:val="20"/>
          <w:szCs w:val="20"/>
          <w:lang w:val="es-MX"/>
        </w:rPr>
      </w:pPr>
      <w:r>
        <w:rPr>
          <w:rStyle w:val="223"/>
          <w:rFonts w:ascii="Verdana" w:hAnsi="Verdana" w:cs="Arial"/>
          <w:sz w:val="20"/>
          <w:szCs w:val="20"/>
          <w:lang w:val="es-MX"/>
        </w:rPr>
        <w:t>SUBURBANO EN RUTA FIJA</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19</w:t>
      </w:r>
      <w:r>
        <w:rPr>
          <w:rFonts w:ascii="Verdana" w:hAnsi="Verdana"/>
          <w:sz w:val="20"/>
          <w:szCs w:val="20"/>
          <w:lang w:val="es-MX"/>
        </w:rPr>
        <w:t>. Los derechos por la prestación del servicio de transporte público urbano y suburbano en ruta fija, se causarán y liquidarán por vehículo,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112"/>
        <w:gridCol w:w="12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el otorgamiento de concesión para la explotación del servicio de transporte público urbano y suburbano en ruta fija en las vías de jurisdicción municipal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$7,820.35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transmisión de derechos de concesión para la explotación del servicio de transporte público urbano y suburbano en ruta fija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$7,820.35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refrendo anual de concesiones para explotación del servicio público de transporte urbano y suburbano en ruta fija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$781.46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Por revista mecánica semestral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$162.80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permiso eventual de transporte público, por mes o fracción de mes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$128.75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Por permiso para servicio extraordinario, por día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$270.37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constancia de despintado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programa para uso de unidades en buen estado, por un año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$977.47</w:t>
            </w:r>
          </w:p>
        </w:tc>
      </w:tr>
    </w:tbl>
    <w:p>
      <w:pPr>
        <w:pStyle w:val="85"/>
        <w:jc w:val="both"/>
        <w:rPr>
          <w:rFonts w:ascii="Verdana" w:hAnsi="Verdana"/>
          <w:sz w:val="20"/>
          <w:szCs w:val="20"/>
        </w:rPr>
      </w:pPr>
      <w:r>
        <w:rPr>
          <w:rFonts w:ascii="Verdana" w:hAnsi="Verdana"/>
          <w:sz w:val="20"/>
          <w:szCs w:val="20"/>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SEXTA</w:t>
      </w:r>
      <w:r>
        <w:rPr>
          <w:rStyle w:val="223"/>
          <w:rFonts w:ascii="Verdana" w:hAnsi="Verdana" w:cs="Arial"/>
          <w:sz w:val="20"/>
          <w:szCs w:val="20"/>
          <w:lang w:val="es-MX"/>
        </w:rPr>
        <w:br w:type="textWrapping"/>
      </w:r>
      <w:r>
        <w:rPr>
          <w:rStyle w:val="223"/>
          <w:rFonts w:ascii="Verdana" w:hAnsi="Verdana" w:cs="Arial"/>
          <w:sz w:val="20"/>
          <w:szCs w:val="20"/>
          <w:lang w:val="es-MX"/>
        </w:rPr>
        <w:t>SERVICIOS DE TRÁNSITO Y VIALIDAD</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w:t>
      </w:r>
      <w:r>
        <w:rPr>
          <w:rStyle w:val="223"/>
          <w:rFonts w:ascii="Verdana" w:hAnsi="Verdana"/>
          <w:sz w:val="20"/>
          <w:szCs w:val="20"/>
          <w:lang w:val="es-MX"/>
        </w:rPr>
        <w:t xml:space="preserve"> 20</w:t>
      </w:r>
      <w:r>
        <w:rPr>
          <w:rFonts w:ascii="Verdana" w:hAnsi="Verdana"/>
          <w:sz w:val="20"/>
          <w:szCs w:val="20"/>
          <w:lang w:val="es-MX"/>
        </w:rPr>
        <w:t>. Los derechos por la prestación de los servicios de tránsito y vialidad, consistentes en la expedición de constancia de no infracción se causarán y liquidarán a una cuota de $65.12.</w:t>
      </w: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SÉPTIMA</w:t>
      </w:r>
      <w:r>
        <w:rPr>
          <w:rStyle w:val="223"/>
          <w:rFonts w:ascii="Verdana" w:hAnsi="Verdana" w:cs="Arial"/>
          <w:sz w:val="20"/>
          <w:szCs w:val="20"/>
          <w:lang w:val="es-MX"/>
        </w:rPr>
        <w:br w:type="textWrapping"/>
      </w:r>
      <w:r>
        <w:rPr>
          <w:rStyle w:val="223"/>
          <w:rFonts w:ascii="Verdana" w:hAnsi="Verdana" w:cs="Arial"/>
          <w:sz w:val="20"/>
          <w:szCs w:val="20"/>
          <w:lang w:val="es-MX"/>
        </w:rPr>
        <w:t>SERVICIOS DE ESTACIONAMIENTOS PÚBLICOS</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21</w:t>
      </w:r>
      <w:r>
        <w:rPr>
          <w:rFonts w:ascii="Verdana" w:hAnsi="Verdana"/>
          <w:sz w:val="20"/>
          <w:szCs w:val="20"/>
          <w:lang w:val="es-MX"/>
        </w:rPr>
        <w:t>. Los derechos por la prestación del servicio de estacionamientos públicos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1790"/>
        <w:gridCol w:w="1076"/>
        <w:gridCol w:w="487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Por vehículo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hora o fracción que exceda de 15 minutos</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motocicleta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día</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Pensiones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$370.10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mes</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center"/>
        <w:rPr>
          <w:rFonts w:ascii="Verdana" w:hAnsi="Verdana"/>
          <w:sz w:val="20"/>
          <w:szCs w:val="20"/>
          <w:lang w:val="es-MX"/>
        </w:rPr>
      </w:pPr>
      <w:r>
        <w:rPr>
          <w:rStyle w:val="223"/>
          <w:rFonts w:ascii="Verdana" w:hAnsi="Verdana" w:cs="Arial"/>
          <w:sz w:val="20"/>
          <w:szCs w:val="20"/>
          <w:lang w:val="es-MX"/>
        </w:rPr>
        <w:t>SECCIÓN OCTAVA</w:t>
      </w:r>
      <w:r>
        <w:rPr>
          <w:rStyle w:val="223"/>
          <w:rFonts w:ascii="Verdana" w:hAnsi="Verdana" w:cs="Arial"/>
          <w:sz w:val="20"/>
          <w:szCs w:val="20"/>
          <w:lang w:val="es-MX"/>
        </w:rPr>
        <w:br w:type="textWrapping"/>
      </w:r>
      <w:r>
        <w:rPr>
          <w:rStyle w:val="223"/>
          <w:rFonts w:ascii="Verdana" w:hAnsi="Verdana" w:cs="Arial"/>
          <w:sz w:val="20"/>
          <w:szCs w:val="20"/>
          <w:lang w:val="es-MX"/>
        </w:rPr>
        <w:t>SERVICIOS PRESTADOS POR LA CASA DE LA CULTURA</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22</w:t>
      </w:r>
      <w:r>
        <w:rPr>
          <w:rFonts w:ascii="Verdana" w:hAnsi="Verdana"/>
          <w:sz w:val="20"/>
          <w:szCs w:val="20"/>
          <w:lang w:val="es-MX"/>
        </w:rPr>
        <w:t>. Los derechos por la prestación de los servicios a cargo de la Casa de la Cultura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388"/>
        <w:gridCol w:w="5280"/>
        <w:gridCol w:w="10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Taller mensual:</w:t>
            </w: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Baile moderno, rondalla, ballet clásico y alfarería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$97.67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Joyería artística, iniciación al arte, guitarra, dibujo, karate, artesanía 1, danza folklórica, baile de salón y teatro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$113.95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Pintura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$130.24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Piano, artes plásticas, pintura 2, artesanías 2 y yoga matutino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$146.52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2388"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Curso de verano para niños</w:t>
            </w:r>
          </w:p>
        </w:tc>
        <w:tc>
          <w:tcPr>
            <w:tcW w:w="5280"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$554.45</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both"/>
        <w:rPr>
          <w:rFonts w:ascii="Verdana" w:hAnsi="Verdana"/>
          <w:sz w:val="20"/>
          <w:szCs w:val="20"/>
          <w:lang w:val="es-MX"/>
        </w:rPr>
      </w:pPr>
      <w:r>
        <w:rPr>
          <w:rStyle w:val="223"/>
          <w:rFonts w:ascii="Verdana" w:hAnsi="Verdana" w:cs="Arial"/>
          <w:sz w:val="20"/>
          <w:szCs w:val="20"/>
          <w:lang w:val="es-MX"/>
        </w:rPr>
        <w:t>SECCIÓN NOVENA</w:t>
      </w:r>
      <w:r>
        <w:rPr>
          <w:rStyle w:val="223"/>
          <w:rFonts w:ascii="Verdana" w:hAnsi="Verdana" w:cs="Arial"/>
          <w:sz w:val="20"/>
          <w:szCs w:val="20"/>
          <w:lang w:val="es-MX"/>
        </w:rPr>
        <w:br w:type="textWrapping"/>
      </w:r>
      <w:r>
        <w:rPr>
          <w:rStyle w:val="223"/>
          <w:rFonts w:ascii="Verdana" w:hAnsi="Verdana" w:cs="Arial"/>
          <w:sz w:val="20"/>
          <w:szCs w:val="20"/>
          <w:lang w:val="es-MX"/>
        </w:rPr>
        <w:t>SERVICIOS DE ASISTENCIA Y SALUD PÚBLICA</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23</w:t>
      </w:r>
      <w:r>
        <w:rPr>
          <w:rFonts w:ascii="Verdana" w:hAnsi="Verdana"/>
          <w:sz w:val="20"/>
          <w:szCs w:val="20"/>
          <w:lang w:val="es-MX"/>
        </w:rPr>
        <w:t>. Los derechos por la prestación de los servicios de asistencia y salud pública se causarán y liquidarán de conformidad a la siguiente:</w:t>
      </w:r>
    </w:p>
    <w:p>
      <w:pPr>
        <w:pStyle w:val="85"/>
        <w:jc w:val="both"/>
        <w:rPr>
          <w:rFonts w:ascii="Verdana" w:hAnsi="Verdana"/>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T A R I F 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Centros de Atención Médica del Sistema Municipal para el Desarrollo Integral de la Familia:</w:t>
      </w:r>
    </w:p>
    <w:p>
      <w:pPr>
        <w:pStyle w:val="85"/>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096"/>
        <w:gridCol w:w="195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Consulta médica general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$72.52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Atención especialistas:</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a)</w:t>
            </w:r>
            <w:r>
              <w:rPr>
                <w:rFonts w:ascii="Verdana" w:hAnsi="Verdana"/>
                <w:sz w:val="20"/>
                <w:szCs w:val="20"/>
                <w:lang w:bidi="ar"/>
              </w:rPr>
              <w:t xml:space="preserve"> Dental: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1.</w:t>
            </w:r>
            <w:r>
              <w:rPr>
                <w:rFonts w:ascii="Verdana" w:hAnsi="Verdana"/>
                <w:sz w:val="20"/>
                <w:szCs w:val="20"/>
                <w:lang w:bidi="ar"/>
              </w:rPr>
              <w:t xml:space="preserve"> Extracción</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$179.10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2.</w:t>
            </w:r>
            <w:r>
              <w:rPr>
                <w:rFonts w:ascii="Verdana" w:hAnsi="Verdana"/>
                <w:sz w:val="20"/>
                <w:szCs w:val="20"/>
                <w:lang w:bidi="ar"/>
              </w:rPr>
              <w:t xml:space="preserve"> Limpieza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$125.65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3.</w:t>
            </w:r>
            <w:r>
              <w:rPr>
                <w:rFonts w:ascii="Verdana" w:hAnsi="Verdana"/>
                <w:sz w:val="20"/>
                <w:szCs w:val="20"/>
                <w:lang w:bidi="ar"/>
              </w:rPr>
              <w:t xml:space="preserve"> Extracción temporal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$89.70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4.</w:t>
            </w:r>
            <w:r>
              <w:rPr>
                <w:rFonts w:ascii="Verdana" w:hAnsi="Verdana"/>
                <w:sz w:val="20"/>
                <w:szCs w:val="20"/>
                <w:lang w:bidi="ar"/>
              </w:rPr>
              <w:t xml:space="preserve"> Curaciones</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$87.02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5.</w:t>
            </w:r>
            <w:r>
              <w:rPr>
                <w:rFonts w:ascii="Verdana" w:hAnsi="Verdana"/>
                <w:sz w:val="20"/>
                <w:szCs w:val="20"/>
                <w:lang w:bidi="ar"/>
              </w:rPr>
              <w:t xml:space="preserve"> Pulpotomía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$125.65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6.</w:t>
            </w:r>
            <w:r>
              <w:rPr>
                <w:rFonts w:ascii="Verdana" w:hAnsi="Verdana"/>
                <w:sz w:val="20"/>
                <w:szCs w:val="20"/>
                <w:lang w:bidi="ar"/>
              </w:rPr>
              <w:t xml:space="preserve"> Amalgamas</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$86.47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7.</w:t>
            </w:r>
            <w:r>
              <w:rPr>
                <w:rFonts w:ascii="Verdana" w:hAnsi="Verdana"/>
                <w:sz w:val="20"/>
                <w:szCs w:val="20"/>
                <w:lang w:bidi="ar"/>
              </w:rPr>
              <w:t xml:space="preserve"> Consulta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$86.47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b)</w:t>
            </w:r>
            <w:r>
              <w:rPr>
                <w:rFonts w:ascii="Verdana" w:hAnsi="Verdana"/>
                <w:sz w:val="20"/>
                <w:szCs w:val="20"/>
                <w:lang w:bidi="ar"/>
              </w:rPr>
              <w:t xml:space="preserve"> Psicólogo:</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1.</w:t>
            </w:r>
            <w:r>
              <w:rPr>
                <w:rFonts w:ascii="Verdana" w:hAnsi="Verdana"/>
                <w:sz w:val="20"/>
                <w:szCs w:val="20"/>
                <w:lang w:bidi="ar"/>
              </w:rPr>
              <w:t xml:space="preserve"> Adulto</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$89.70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2.</w:t>
            </w:r>
            <w:r>
              <w:rPr>
                <w:rFonts w:ascii="Verdana" w:hAnsi="Verdana"/>
                <w:sz w:val="20"/>
                <w:szCs w:val="20"/>
                <w:lang w:bidi="ar"/>
              </w:rPr>
              <w:t xml:space="preserve"> Niño</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c)</w:t>
            </w:r>
            <w:r>
              <w:rPr>
                <w:rFonts w:ascii="Verdana" w:hAnsi="Verdana"/>
                <w:sz w:val="20"/>
                <w:szCs w:val="20"/>
                <w:lang w:bidi="ar"/>
              </w:rPr>
              <w:t xml:space="preserve"> Rehabilitación:</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1.</w:t>
            </w:r>
            <w:r>
              <w:rPr>
                <w:rFonts w:ascii="Verdana" w:hAnsi="Verdana"/>
                <w:sz w:val="20"/>
                <w:szCs w:val="20"/>
                <w:lang w:bidi="ar"/>
              </w:rPr>
              <w:t xml:space="preserve"> Tratamiento diario</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2.</w:t>
            </w:r>
            <w:r>
              <w:rPr>
                <w:rFonts w:ascii="Verdana" w:hAnsi="Verdana"/>
                <w:sz w:val="20"/>
                <w:szCs w:val="20"/>
                <w:lang w:bidi="ar"/>
              </w:rPr>
              <w:t xml:space="preserve"> Cada tercer día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d)</w:t>
            </w:r>
            <w:r>
              <w:rPr>
                <w:rFonts w:ascii="Verdana" w:hAnsi="Verdana"/>
                <w:sz w:val="20"/>
                <w:szCs w:val="20"/>
                <w:lang w:bidi="ar"/>
              </w:rPr>
              <w:t xml:space="preserve"> Optometría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e)</w:t>
            </w:r>
            <w:r>
              <w:rPr>
                <w:rFonts w:ascii="Verdana" w:hAnsi="Verdana"/>
                <w:sz w:val="20"/>
                <w:szCs w:val="20"/>
                <w:lang w:bidi="ar"/>
              </w:rPr>
              <w:t xml:space="preserve"> Consulta nutrición</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f)</w:t>
            </w:r>
            <w:r>
              <w:rPr>
                <w:rFonts w:ascii="Verdana" w:hAnsi="Verdana"/>
                <w:sz w:val="20"/>
                <w:szCs w:val="20"/>
                <w:lang w:bidi="ar"/>
              </w:rPr>
              <w:t xml:space="preserve"> Terapia de lenguaje</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III.</w:t>
            </w:r>
            <w:r>
              <w:rPr>
                <w:rFonts w:ascii="Verdana" w:hAnsi="Verdana"/>
                <w:sz w:val="20"/>
                <w:szCs w:val="20"/>
                <w:lang w:bidi="ar"/>
              </w:rPr>
              <w:t xml:space="preserve"> Preescolar:</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a)</w:t>
            </w:r>
            <w:r>
              <w:rPr>
                <w:rFonts w:ascii="Verdana" w:hAnsi="Verdana"/>
                <w:sz w:val="20"/>
                <w:szCs w:val="20"/>
                <w:lang w:bidi="ar"/>
              </w:rPr>
              <w:t xml:space="preserve"> Segundo grado, mensual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b)</w:t>
            </w:r>
            <w:r>
              <w:rPr>
                <w:rFonts w:ascii="Verdana" w:hAnsi="Verdana"/>
                <w:sz w:val="20"/>
                <w:szCs w:val="20"/>
                <w:lang w:bidi="ar"/>
              </w:rPr>
              <w:t xml:space="preserve"> Tercer grado, mensual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IV.</w:t>
            </w:r>
            <w:r>
              <w:rPr>
                <w:rFonts w:ascii="Verdana" w:hAnsi="Verdana"/>
                <w:sz w:val="20"/>
                <w:szCs w:val="20"/>
                <w:lang w:bidi="ar"/>
              </w:rPr>
              <w:t xml:space="preserve"> Guardería:</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a) </w:t>
            </w:r>
            <w:r>
              <w:rPr>
                <w:rFonts w:ascii="Verdana" w:hAnsi="Verdana"/>
                <w:sz w:val="20"/>
                <w:szCs w:val="20"/>
                <w:lang w:bidi="ar"/>
              </w:rPr>
              <w:t>Cuota alta semanal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$314.91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b)</w:t>
            </w:r>
            <w:r>
              <w:rPr>
                <w:rFonts w:ascii="Verdana" w:hAnsi="Verdana"/>
                <w:sz w:val="20"/>
                <w:szCs w:val="20"/>
                <w:lang w:bidi="ar"/>
              </w:rPr>
              <w:t xml:space="preserve"> Cuota media semanal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$270.03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6096" w:type="dxa"/>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c)</w:t>
            </w:r>
            <w:r>
              <w:rPr>
                <w:rFonts w:ascii="Verdana" w:hAnsi="Verdana"/>
                <w:sz w:val="20"/>
                <w:szCs w:val="20"/>
                <w:lang w:bidi="ar"/>
              </w:rPr>
              <w:t xml:space="preserve"> Cuota baja semanal</w:t>
            </w:r>
          </w:p>
        </w:tc>
        <w:tc>
          <w:tcPr>
            <w:tcW w:w="1956"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$224.95</w:t>
            </w:r>
          </w:p>
        </w:tc>
      </w:tr>
    </w:tbl>
    <w:p>
      <w:pPr>
        <w:pStyle w:val="85"/>
        <w:jc w:val="both"/>
        <w:rPr>
          <w:rFonts w:ascii="Verdana" w:hAnsi="Verdana"/>
          <w:sz w:val="20"/>
          <w:szCs w:val="20"/>
        </w:rPr>
      </w:pPr>
      <w:r>
        <w:rPr>
          <w:rFonts w:ascii="Verdana" w:hAnsi="Verdana"/>
          <w:sz w:val="20"/>
          <w:szCs w:val="20"/>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DÉCIMA</w:t>
      </w:r>
      <w:r>
        <w:rPr>
          <w:rStyle w:val="223"/>
          <w:rFonts w:ascii="Verdana" w:hAnsi="Verdana" w:cs="Arial"/>
          <w:sz w:val="20"/>
          <w:szCs w:val="20"/>
          <w:lang w:val="es-MX"/>
        </w:rPr>
        <w:br w:type="textWrapping"/>
      </w:r>
      <w:r>
        <w:rPr>
          <w:rStyle w:val="223"/>
          <w:rFonts w:ascii="Verdana" w:hAnsi="Verdana" w:cs="Arial"/>
          <w:sz w:val="20"/>
          <w:szCs w:val="20"/>
          <w:lang w:val="es-MX"/>
        </w:rPr>
        <w:t>SERVICIOS DE PROTECCIÓN CIVIL</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24</w:t>
      </w:r>
      <w:r>
        <w:rPr>
          <w:rFonts w:ascii="Verdana" w:hAnsi="Verdana"/>
          <w:sz w:val="20"/>
          <w:szCs w:val="20"/>
          <w:lang w:val="es-MX"/>
        </w:rPr>
        <w:t>. Los derechos por la prestación de los servicios de protección civil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112"/>
        <w:gridCol w:w="12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Conformidad para uso y quema de artificios pirotécnicos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$515.95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Dictamen anual de protección civil en comercios: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De bajo riesgo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$171.68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b)</w:t>
            </w:r>
            <w:r>
              <w:rPr>
                <w:rFonts w:ascii="Verdana" w:hAnsi="Verdana"/>
                <w:sz w:val="20"/>
                <w:szCs w:val="20"/>
                <w:lang w:bidi="ar"/>
              </w:rPr>
              <w:t xml:space="preserve"> De alto riesgo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$515.95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Constancia de simulacro de evacuación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$344.20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Visto bueno de programas internos de protección civil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$1,142.19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Dictamen de seguridad laboral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$189.27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Evaluación de riesgos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$549.82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la formación de brigadas internas, por empresa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$880.61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la realización de simulacros de evacuación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$880.61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Constancia de seguridad de ubicación para construcción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$378.54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primeros auxilios, por persona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$880.61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prevención y control de incendios, por persona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$1,305.36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cursos-taller de identificación y aislamiento de materiales peligrosos, por persona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$5,221.46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talleres de búsqueda y rescate, por persona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$4,324.00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Capacitación en cursos-taller de comando de incidentes, por persona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$5,221.46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Dictamen de seguridad para colocación de anuncios publicitarios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$685.23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Dictamen de eventos de afluencia masiva, por evento o jornada de trabajo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$515.95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Conformidad y dictamen de circos o espectáculos en carpas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$601.40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trHeight w:val="742"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Dictamen y conformidad para la instalación de gradas temporales en eventos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$601.40</w:t>
            </w:r>
          </w:p>
        </w:tc>
      </w:tr>
    </w:tbl>
    <w:p>
      <w:pPr>
        <w:pStyle w:val="85"/>
        <w:jc w:val="center"/>
        <w:rPr>
          <w:rFonts w:ascii="Verdana" w:hAnsi="Verdana"/>
          <w:sz w:val="20"/>
          <w:szCs w:val="20"/>
        </w:rPr>
      </w:pPr>
    </w:p>
    <w:p>
      <w:pPr>
        <w:pStyle w:val="85"/>
        <w:jc w:val="center"/>
        <w:rPr>
          <w:rFonts w:ascii="Verdana" w:hAnsi="Verdana"/>
          <w:sz w:val="20"/>
          <w:szCs w:val="20"/>
          <w:lang w:val="es-MX"/>
        </w:rPr>
      </w:pPr>
      <w:r>
        <w:rPr>
          <w:rStyle w:val="223"/>
          <w:rFonts w:ascii="Verdana" w:hAnsi="Verdana" w:cs="Arial"/>
          <w:sz w:val="20"/>
          <w:szCs w:val="20"/>
          <w:lang w:val="es-MX"/>
        </w:rPr>
        <w:t>SECCIÓN UNDÉCIMA</w:t>
      </w:r>
      <w:r>
        <w:rPr>
          <w:rStyle w:val="223"/>
          <w:rFonts w:ascii="Verdana" w:hAnsi="Verdana" w:cs="Arial"/>
          <w:sz w:val="20"/>
          <w:szCs w:val="20"/>
          <w:lang w:val="es-MX"/>
        </w:rPr>
        <w:br w:type="textWrapping"/>
      </w:r>
      <w:r>
        <w:rPr>
          <w:rStyle w:val="223"/>
          <w:rFonts w:ascii="Verdana" w:hAnsi="Verdana" w:cs="Arial"/>
          <w:sz w:val="20"/>
          <w:szCs w:val="20"/>
          <w:lang w:val="es-MX"/>
        </w:rPr>
        <w:t>SERVICIOS DE OBRA PÚBLICA Y DESARROLLO URBANO</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25</w:t>
      </w:r>
      <w:r>
        <w:rPr>
          <w:rFonts w:ascii="Verdana" w:hAnsi="Verdana"/>
          <w:sz w:val="20"/>
          <w:szCs w:val="20"/>
          <w:lang w:val="es-MX"/>
        </w:rPr>
        <w:t>. Los derechos por la prestación de los servicios de obra pública y desarrollo urbano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644"/>
        <w:gridCol w:w="1276"/>
        <w:gridCol w:w="1468"/>
      </w:tblGrid>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permiso de construcción: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Uso habitacional: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1.</w:t>
            </w:r>
            <w:r>
              <w:rPr>
                <w:rFonts w:ascii="Verdana" w:hAnsi="Verdana"/>
                <w:sz w:val="20"/>
                <w:szCs w:val="20"/>
                <w:lang w:bidi="ar"/>
              </w:rPr>
              <w:t xml:space="preserve"> Marginado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Exento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Económico, que incluye departamentos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$7.58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Medio, que incluye departamentos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4.</w:t>
            </w:r>
            <w:r>
              <w:rPr>
                <w:rFonts w:ascii="Verdana" w:hAnsi="Verdana"/>
                <w:sz w:val="20"/>
                <w:szCs w:val="20"/>
                <w:lang w:bidi="ar"/>
              </w:rPr>
              <w:t xml:space="preserve">   Residencial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b)</w:t>
            </w:r>
            <w:r>
              <w:rPr>
                <w:rFonts w:ascii="Verdana" w:hAnsi="Verdana"/>
                <w:sz w:val="20"/>
                <w:szCs w:val="20"/>
                <w:lang w:bidi="ar"/>
              </w:rPr>
              <w:t xml:space="preserve"> Uso especializado: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Hoteles, cines, templos, hospitales, clubes deportivos, estaciones de servicio y todos aquellos inmuebles en los que se introduzca infraestructura especializada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$15.34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2.</w:t>
            </w:r>
            <w:r>
              <w:rPr>
                <w:rFonts w:ascii="Verdana" w:hAnsi="Verdana"/>
                <w:sz w:val="20"/>
                <w:szCs w:val="20"/>
                <w:lang w:bidi="ar"/>
              </w:rPr>
              <w:t xml:space="preserve"> Áreas pavimentadas: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De concreto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De asfalto o adoquín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c)</w:t>
            </w:r>
            <w:r>
              <w:rPr>
                <w:rFonts w:ascii="Verdana" w:hAnsi="Verdana"/>
                <w:sz w:val="20"/>
                <w:szCs w:val="20"/>
                <w:lang w:bidi="ar"/>
              </w:rPr>
              <w:t xml:space="preserve"> Bardas o muros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metro lineal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d)</w:t>
            </w:r>
            <w:r>
              <w:rPr>
                <w:rFonts w:ascii="Verdana" w:hAnsi="Verdana"/>
                <w:sz w:val="20"/>
                <w:szCs w:val="20"/>
                <w:lang w:bidi="ar"/>
              </w:rPr>
              <w:t xml:space="preserve"> Otros usos: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Bodegas, talleres y naves industriales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2.</w:t>
            </w:r>
            <w:r>
              <w:rPr>
                <w:rFonts w:ascii="Verdana" w:hAnsi="Verdana"/>
                <w:sz w:val="20"/>
                <w:szCs w:val="20"/>
                <w:lang w:bidi="ar"/>
              </w:rPr>
              <w:t xml:space="preserve">   Escuelas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permiso de regularización de construcción se cobrará el 50% adicional a lo que establece la fracción I de este artículo.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prórroga de permiso de construcción se causará el 50% de los derechos que establece la fracción I de este artículo.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autorización para el asentamiento para construcciones móviles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$11.16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m²</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permisos de division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$323.23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permiso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permisos de uso de suelo, alineamiento y número oficial: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Uso habitacional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$651.13</w:t>
            </w:r>
          </w:p>
        </w:tc>
        <w:tc>
          <w:tcPr>
            <w:tcW w:w="0" w:type="auto"/>
            <w:tcBorders>
              <w:top w:val="single" w:color="000000" w:sz="6" w:space="0"/>
              <w:left w:val="nil"/>
              <w:bottom w:val="single" w:color="000000" w:sz="6" w:space="0"/>
              <w:right w:val="single" w:color="000000" w:sz="6" w:space="0"/>
            </w:tcBorders>
          </w:tcPr>
          <w:p>
            <w:pPr>
              <w:pStyle w:val="85"/>
              <w:jc w:val="both"/>
              <w:rPr>
                <w:rFonts w:ascii="Verdana" w:hAnsi="Verdana"/>
                <w:sz w:val="20"/>
                <w:szCs w:val="20"/>
              </w:rPr>
            </w:pPr>
            <w:r>
              <w:rPr>
                <w:rFonts w:ascii="Verdana" w:hAnsi="Verdana"/>
                <w:sz w:val="20"/>
                <w:szCs w:val="20"/>
                <w:lang w:bidi="ar"/>
              </w:rPr>
              <w:t>por permiso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b)</w:t>
            </w:r>
            <w:r>
              <w:rPr>
                <w:rFonts w:ascii="Verdana" w:hAnsi="Verdana"/>
                <w:sz w:val="20"/>
                <w:szCs w:val="20"/>
                <w:lang w:bidi="ar"/>
              </w:rPr>
              <w:t xml:space="preserve"> Uso industrial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$1,614.60</w:t>
            </w:r>
          </w:p>
        </w:tc>
        <w:tc>
          <w:tcPr>
            <w:tcW w:w="0" w:type="auto"/>
            <w:tcBorders>
              <w:top w:val="single" w:color="000000" w:sz="6" w:space="0"/>
              <w:left w:val="nil"/>
              <w:bottom w:val="single" w:color="000000" w:sz="6" w:space="0"/>
              <w:right w:val="single" w:color="000000" w:sz="6" w:space="0"/>
            </w:tcBorders>
          </w:tcPr>
          <w:p>
            <w:pPr>
              <w:pStyle w:val="85"/>
              <w:jc w:val="both"/>
              <w:rPr>
                <w:rFonts w:ascii="Verdana" w:hAnsi="Verdana"/>
                <w:sz w:val="20"/>
                <w:szCs w:val="20"/>
              </w:rPr>
            </w:pPr>
            <w:r>
              <w:rPr>
                <w:rFonts w:ascii="Verdana" w:hAnsi="Verdana"/>
                <w:sz w:val="20"/>
                <w:szCs w:val="20"/>
                <w:lang w:bidi="ar"/>
              </w:rPr>
              <w:t>por permiso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c)</w:t>
            </w:r>
            <w:r>
              <w:rPr>
                <w:rFonts w:ascii="Verdana" w:hAnsi="Verdana"/>
                <w:sz w:val="20"/>
                <w:szCs w:val="20"/>
                <w:lang w:bidi="ar"/>
              </w:rPr>
              <w:t xml:space="preserve"> Uso comercial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$540.78</w:t>
            </w:r>
          </w:p>
        </w:tc>
        <w:tc>
          <w:tcPr>
            <w:tcW w:w="0" w:type="auto"/>
            <w:tcBorders>
              <w:top w:val="single" w:color="000000" w:sz="6" w:space="0"/>
              <w:left w:val="nil"/>
              <w:bottom w:val="single" w:color="000000" w:sz="6" w:space="0"/>
              <w:right w:val="single" w:color="000000" w:sz="6" w:space="0"/>
            </w:tcBorders>
          </w:tcPr>
          <w:p>
            <w:pPr>
              <w:pStyle w:val="85"/>
              <w:jc w:val="both"/>
              <w:rPr>
                <w:rFonts w:ascii="Verdana" w:hAnsi="Verdana"/>
                <w:sz w:val="20"/>
                <w:szCs w:val="20"/>
              </w:rPr>
            </w:pPr>
            <w:r>
              <w:rPr>
                <w:rFonts w:ascii="Verdana" w:hAnsi="Verdana"/>
                <w:sz w:val="20"/>
                <w:szCs w:val="20"/>
                <w:lang w:bidi="ar"/>
              </w:rPr>
              <w:t>por permiso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autorización de cambio de uso de suelo aprobado, se aplicarán las mismas cuotas establecidas en la fracción VI de este artículo.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certificación de número oficial de cualquier uso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$111.87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certificado</w:t>
            </w:r>
          </w:p>
        </w:tc>
      </w:tr>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certificación de terminación de obra y uso de edificio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$344.20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certificado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el caso de zonas marginadas se les exentará el cobro de este concepto.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certificación de proyectos de electrificación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$149.16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certificado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permisos para ruptura de pavimento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$268.40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permiso</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permiso para ruptura de pavimento para instalaciones especiales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$44.87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por metro lineal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servicio de corrección de autorización de divisiones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$177.14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Fonts w:ascii="Verdana" w:hAnsi="Verdana"/>
          <w:sz w:val="20"/>
          <w:szCs w:val="20"/>
          <w:lang w:val="es-MX"/>
        </w:rPr>
        <w:t>El otorgamiento de los permisos anteriores incluye la revisión del proyecto de construcción y la supervisión de obra.</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DUODÉCIMA</w:t>
      </w:r>
      <w:r>
        <w:rPr>
          <w:rStyle w:val="223"/>
          <w:rFonts w:ascii="Verdana" w:hAnsi="Verdana" w:cs="Arial"/>
          <w:sz w:val="20"/>
          <w:szCs w:val="20"/>
          <w:lang w:val="es-MX"/>
        </w:rPr>
        <w:br w:type="textWrapping"/>
      </w:r>
      <w:r>
        <w:rPr>
          <w:rStyle w:val="223"/>
          <w:rFonts w:ascii="Verdana" w:hAnsi="Verdana" w:cs="Arial"/>
          <w:sz w:val="20"/>
          <w:szCs w:val="20"/>
          <w:lang w:val="es-MX"/>
        </w:rPr>
        <w:t>SERVICIOS DE PRÁCTICA DE AVALÚOS</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26</w:t>
      </w:r>
      <w:r>
        <w:rPr>
          <w:rFonts w:ascii="Verdana" w:hAnsi="Verdana"/>
          <w:sz w:val="20"/>
          <w:szCs w:val="20"/>
          <w:lang w:val="es-MX"/>
        </w:rPr>
        <w:t>. Los derechos por servicios de práctica de avalúos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112"/>
        <w:gridCol w:w="12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el avalúo de inmuebles urbanos y suburbanos se cobrará una cuota fija de $107.88 más 0.6 al millar sobre el valor que arroje el peritaje.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el avalúo de inmuebles rústicos que no requieran de levantamiento del plano del terreno: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Hasta una hectárea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$303.03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cada una de las hectáreas excedentes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$11.42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Cuando un predio rústico contenga construcciones, además de la cuota anterior, se aplicará lo que dispone la fracción I de este artículo sobre el valor de la construcción sin la cuota fija.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el avalúo de inmuebles rústicos que requieran el levantamiento topográfico del terreno: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Hasta una hectárea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$2,336.61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cada una de las hectáreas excedentes hasta 20 hectáreas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$33.50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w:t>
            </w:r>
            <w:r>
              <w:rPr>
                <w:rFonts w:ascii="Verdana" w:hAnsi="Verdana"/>
                <w:bCs/>
                <w:sz w:val="20"/>
                <w:szCs w:val="20"/>
                <w:lang w:val="es-MX" w:bidi="ar"/>
              </w:rPr>
              <w:t>c)</w:t>
            </w:r>
            <w:r>
              <w:rPr>
                <w:rFonts w:ascii="Verdana" w:hAnsi="Verdana"/>
                <w:sz w:val="20"/>
                <w:szCs w:val="20"/>
                <w:lang w:val="es-MX" w:bidi="ar"/>
              </w:rPr>
              <w:t xml:space="preserve">   Por cada una de las hectáreas excedentes de 20 hectáreas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$248.00</w:t>
            </w: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lang w:val="es-MX"/>
        </w:rPr>
      </w:pPr>
      <w:r>
        <w:rPr>
          <w:rFonts w:ascii="Verdana" w:hAnsi="Verdana"/>
          <w:sz w:val="20"/>
          <w:szCs w:val="20"/>
          <w:lang w:val="es-MX"/>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p>
      <w:pPr>
        <w:pStyle w:val="85"/>
        <w:jc w:val="both"/>
        <w:rPr>
          <w:rFonts w:ascii="Verdana" w:hAnsi="Verdana"/>
          <w:sz w:val="20"/>
          <w:szCs w:val="20"/>
          <w:lang w:val="es-MX"/>
        </w:rPr>
      </w:pPr>
    </w:p>
    <w:p>
      <w:pPr>
        <w:pStyle w:val="85"/>
        <w:jc w:val="center"/>
        <w:rPr>
          <w:rStyle w:val="223"/>
          <w:rFonts w:ascii="Verdana" w:hAnsi="Verdana" w:cs="Arial"/>
          <w:sz w:val="20"/>
          <w:szCs w:val="20"/>
          <w:lang w:val="es-MX"/>
        </w:rPr>
      </w:pPr>
      <w:r>
        <w:rPr>
          <w:rStyle w:val="223"/>
          <w:rFonts w:ascii="Verdana" w:hAnsi="Verdana" w:cs="Arial"/>
          <w:sz w:val="20"/>
          <w:szCs w:val="20"/>
          <w:lang w:val="es-MX"/>
        </w:rPr>
        <w:t>SECCIÓN DECIMATERCERA</w:t>
      </w:r>
      <w:r>
        <w:rPr>
          <w:rStyle w:val="223"/>
          <w:rFonts w:ascii="Verdana" w:hAnsi="Verdana" w:cs="Arial"/>
          <w:sz w:val="20"/>
          <w:szCs w:val="20"/>
          <w:lang w:val="es-MX"/>
        </w:rPr>
        <w:br w:type="textWrapping"/>
      </w:r>
      <w:r>
        <w:rPr>
          <w:rStyle w:val="223"/>
          <w:rFonts w:ascii="Verdana" w:hAnsi="Verdana" w:cs="Arial"/>
          <w:sz w:val="20"/>
          <w:szCs w:val="20"/>
          <w:lang w:val="es-MX"/>
        </w:rPr>
        <w:t>SERVICIOS EN MATERIA DE FRACCIONAMIENTOS Y DESARROLLOS EN CONDOMINIO</w:t>
      </w:r>
    </w:p>
    <w:p>
      <w:pPr>
        <w:pStyle w:val="85"/>
        <w:jc w:val="both"/>
        <w:rPr>
          <w:rStyle w:val="223"/>
          <w:rFonts w:ascii="Verdana" w:hAnsi="Verdana" w:cs="Arial"/>
          <w:sz w:val="20"/>
          <w:szCs w:val="20"/>
          <w:lang w:val="es-MX"/>
        </w:rPr>
      </w:pPr>
    </w:p>
    <w:p>
      <w:pPr>
        <w:pStyle w:val="85"/>
        <w:jc w:val="both"/>
        <w:rPr>
          <w:rFonts w:ascii="Verdana" w:hAnsi="Verdana"/>
          <w:sz w:val="20"/>
          <w:szCs w:val="20"/>
          <w:lang w:val="es-MX"/>
        </w:rPr>
      </w:pPr>
      <w:r>
        <w:rPr>
          <w:rStyle w:val="223"/>
          <w:rFonts w:ascii="Verdana" w:hAnsi="Verdana" w:cs="Arial"/>
          <w:sz w:val="20"/>
          <w:szCs w:val="20"/>
          <w:lang w:val="es-MX"/>
        </w:rPr>
        <w:t>Artículo 27</w:t>
      </w:r>
      <w:r>
        <w:rPr>
          <w:rFonts w:ascii="Verdana" w:hAnsi="Verdana"/>
          <w:sz w:val="20"/>
          <w:szCs w:val="20"/>
          <w:lang w:val="es-MX"/>
        </w:rPr>
        <w:t>. Los derechos por servicios municipales en materia de fraccionamientos y desarrollos en condominio se causarán y liquidarán conforme a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6212"/>
        <w:gridCol w:w="1076"/>
        <w:gridCol w:w="21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revisión de proyectos para expedición de constancias de compatibilidad urbanística se cobrarán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$0.28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r>
              <w:rPr>
                <w:rFonts w:ascii="Verdana" w:hAnsi="Verdana"/>
                <w:sz w:val="20"/>
                <w:szCs w:val="20"/>
                <w:lang w:val="es-MX" w:bidi="ar"/>
              </w:rPr>
              <w:t>por metro cuadrado de superficie vendible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revisión de proyectos para la aprobación de traza, se cobrarán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$0.28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superficie vendible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revisión de proyectos para la expedición de permiso de obra: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fraccionamientos residenciales, de urbanización progresiva, popular y de interés social, así como en conjuntos habitacionales y comerciales o de servicios, se cobrarán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$4.18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p>
          <w:p>
            <w:pPr>
              <w:pStyle w:val="85"/>
              <w:jc w:val="both"/>
              <w:rPr>
                <w:rFonts w:ascii="Verdana" w:hAnsi="Verdana"/>
                <w:sz w:val="20"/>
                <w:szCs w:val="20"/>
                <w:lang w:bidi="ar"/>
              </w:rPr>
            </w:pPr>
            <w:r>
              <w:rPr>
                <w:rFonts w:ascii="Verdana" w:hAnsi="Verdana"/>
                <w:sz w:val="20"/>
                <w:szCs w:val="20"/>
                <w:lang w:bidi="ar"/>
              </w:rPr>
              <w:t>por lote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fraccionamientos campestres, rústicos, agropecuarios, industriales y turísticos, recreativos-deportivos, se cobrarán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$0.30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superficie vendible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la supervisión de obra con base al proyecto y presupuesto aprobado de las obras por ejecutar se aplicará:</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En fraccionamientos de urbanización progresiva, aplicado sobre el presupuesto de las obras de introducción de agua potable y drenaje, así como instalación de guarniciones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 los demás fraccionamientos y los desarrollos en condominio</w:t>
            </w:r>
          </w:p>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el permiso de venta se cobrarán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metro cuadrado de superficie vendible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Por concepto de regularización territorial de los asentamientos humanos, por lote individual, se cobrará conforme a lo siguiente: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Recepción de solicitud e integración de documentos en expediente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$106.85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Revisión física del lote y del conjunto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$106.85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Entrega de expediente para proceso final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$106.85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p>
        </w:tc>
      </w:tr>
    </w:tbl>
    <w:p>
      <w:pPr>
        <w:pStyle w:val="85"/>
        <w:jc w:val="both"/>
        <w:rPr>
          <w:rFonts w:ascii="Verdana" w:hAnsi="Verdana"/>
          <w:sz w:val="20"/>
          <w:szCs w:val="20"/>
        </w:rPr>
      </w:pPr>
      <w:r>
        <w:rPr>
          <w:rFonts w:ascii="Verdana" w:hAnsi="Verdana"/>
          <w:sz w:val="20"/>
          <w:szCs w:val="20"/>
        </w:rPr>
        <w:t xml:space="preserve">  </w:t>
      </w:r>
    </w:p>
    <w:p>
      <w:pPr>
        <w:pStyle w:val="85"/>
        <w:jc w:val="both"/>
        <w:rPr>
          <w:rFonts w:ascii="Verdana" w:hAnsi="Verdana"/>
          <w:sz w:val="20"/>
          <w:szCs w:val="20"/>
        </w:rPr>
      </w:pPr>
    </w:p>
    <w:p>
      <w:pPr>
        <w:pStyle w:val="85"/>
        <w:jc w:val="center"/>
        <w:rPr>
          <w:rFonts w:ascii="Verdana" w:hAnsi="Verdana"/>
          <w:sz w:val="20"/>
          <w:szCs w:val="20"/>
          <w:lang w:val="es-MX"/>
        </w:rPr>
      </w:pPr>
      <w:r>
        <w:rPr>
          <w:rStyle w:val="223"/>
          <w:rFonts w:ascii="Verdana" w:hAnsi="Verdana" w:cs="Arial"/>
          <w:sz w:val="20"/>
          <w:szCs w:val="20"/>
          <w:lang w:val="es-MX"/>
        </w:rPr>
        <w:t>SECCIÓN DECIMACUARTA</w:t>
      </w:r>
      <w:r>
        <w:rPr>
          <w:rStyle w:val="223"/>
          <w:rFonts w:ascii="Verdana" w:hAnsi="Verdana" w:cs="Arial"/>
          <w:sz w:val="20"/>
          <w:szCs w:val="20"/>
          <w:lang w:val="es-MX"/>
        </w:rPr>
        <w:br w:type="textWrapping"/>
      </w:r>
      <w:r>
        <w:rPr>
          <w:rStyle w:val="223"/>
          <w:rFonts w:ascii="Verdana" w:hAnsi="Verdana" w:cs="Arial"/>
          <w:sz w:val="20"/>
          <w:szCs w:val="20"/>
          <w:lang w:val="es-MX"/>
        </w:rPr>
        <w:t>EXPEDICIÓN DE LICENCIAS O PERMISOS PARA EL ESTABLECIMIENTO DE ANUNCIOS</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r>
        <w:rPr>
          <w:rStyle w:val="223"/>
          <w:rFonts w:ascii="Verdana" w:hAnsi="Verdana" w:cs="Arial"/>
          <w:sz w:val="20"/>
          <w:szCs w:val="20"/>
          <w:lang w:val="es-MX"/>
        </w:rPr>
        <w:t>Artículo 28</w:t>
      </w:r>
      <w:r>
        <w:rPr>
          <w:rFonts w:ascii="Verdana" w:hAnsi="Verdana"/>
          <w:sz w:val="20"/>
          <w:szCs w:val="20"/>
          <w:lang w:val="es-MX"/>
        </w:rPr>
        <w:t>. Los derechos por la expedición de licencias o permisos para el establecimiento de anuncios se causarán y liquidarán conforme a la siguiente:</w:t>
      </w:r>
    </w:p>
    <w:p>
      <w:pPr>
        <w:pStyle w:val="85"/>
        <w:jc w:val="center"/>
        <w:rPr>
          <w:rFonts w:ascii="Verdana" w:hAnsi="Verdana"/>
          <w:b/>
          <w:bCs/>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312"/>
        <w:gridCol w:w="10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anual para la colocación de anuncios o carteles en pared, adosados al piso o en azotea por metro cuadrado: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Adosados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$586.43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      b)</w:t>
            </w:r>
            <w:r>
              <w:rPr>
                <w:rFonts w:ascii="Verdana" w:hAnsi="Verdana"/>
                <w:sz w:val="20"/>
                <w:szCs w:val="20"/>
                <w:lang w:val="es-MX" w:bidi="ar"/>
              </w:rPr>
              <w:t xml:space="preserve"> Auto soportados y espectaculares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$84.70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c)</w:t>
            </w:r>
            <w:r>
              <w:rPr>
                <w:rFonts w:ascii="Verdana" w:hAnsi="Verdana"/>
                <w:sz w:val="20"/>
                <w:szCs w:val="20"/>
                <w:lang w:bidi="ar"/>
              </w:rPr>
              <w:t xml:space="preserve"> Pinta de bardas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$78.20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anual para la colocación de anuncios o carteles en pared, adosados al piso o en azotea, por pieza: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val="es-MX" w:bidi="ar"/>
              </w:rPr>
              <w:t xml:space="preserve">       </w:t>
            </w:r>
            <w:r>
              <w:rPr>
                <w:rFonts w:ascii="Verdana" w:hAnsi="Verdana"/>
                <w:bCs/>
                <w:sz w:val="20"/>
                <w:szCs w:val="20"/>
                <w:lang w:bidi="ar"/>
              </w:rPr>
              <w:t>a)</w:t>
            </w:r>
            <w:r>
              <w:rPr>
                <w:rFonts w:ascii="Verdana" w:hAnsi="Verdana"/>
                <w:sz w:val="20"/>
                <w:szCs w:val="20"/>
                <w:lang w:bidi="ar"/>
              </w:rPr>
              <w:t xml:space="preserve"> Toldos y carpas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$829.12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w:t>
            </w:r>
            <w:r>
              <w:rPr>
                <w:rFonts w:ascii="Verdana" w:hAnsi="Verdana"/>
                <w:bCs/>
                <w:sz w:val="20"/>
                <w:szCs w:val="20"/>
                <w:lang w:val="es-MX" w:bidi="ar"/>
              </w:rPr>
              <w:t>b)</w:t>
            </w:r>
            <w:r>
              <w:rPr>
                <w:rFonts w:ascii="Verdana" w:hAnsi="Verdana"/>
                <w:sz w:val="20"/>
                <w:szCs w:val="20"/>
                <w:lang w:val="es-MX" w:bidi="ar"/>
              </w:rPr>
              <w:t xml:space="preserve"> Bancas y cobertizos publicitarios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$119.87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semestral por la colocación de cada anuncio o cartel en vehículos de servicio público urbano y suburbano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$110.24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para la difusión fonética de publicidad a través de medios electrónicos en la vía pública: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  a)</w:t>
            </w:r>
            <w:r>
              <w:rPr>
                <w:rFonts w:ascii="Verdana" w:hAnsi="Verdana"/>
                <w:sz w:val="20"/>
                <w:szCs w:val="20"/>
                <w:lang w:val="es-MX" w:bidi="ar"/>
              </w:rPr>
              <w:t xml:space="preserve"> Perifoneo fijo en establecimientos, por día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$326.36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b)</w:t>
            </w:r>
            <w:r>
              <w:rPr>
                <w:rFonts w:ascii="Verdana" w:hAnsi="Verdana"/>
                <w:sz w:val="20"/>
                <w:szCs w:val="20"/>
                <w:lang w:bidi="ar"/>
              </w:rPr>
              <w:t xml:space="preserve"> Perifoneo móvil: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1.</w:t>
            </w:r>
            <w:r>
              <w:rPr>
                <w:rFonts w:ascii="Verdana" w:hAnsi="Verdana"/>
                <w:sz w:val="20"/>
                <w:szCs w:val="20"/>
                <w:lang w:bidi="ar"/>
              </w:rPr>
              <w:t xml:space="preserve"> Por día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$162.78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2. </w:t>
            </w:r>
            <w:r>
              <w:rPr>
                <w:rFonts w:ascii="Verdana" w:hAnsi="Verdana"/>
                <w:sz w:val="20"/>
                <w:szCs w:val="20"/>
                <w:lang w:bidi="ar"/>
              </w:rPr>
              <w:t>Por hora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$32.55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Permiso por la colocación de cada anuncio móvil, temporal o inflable: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w:t>
            </w:r>
            <w:r>
              <w:rPr>
                <w:rFonts w:ascii="Verdana" w:hAnsi="Verdana"/>
                <w:bCs/>
                <w:sz w:val="20"/>
                <w:szCs w:val="20"/>
                <w:lang w:val="es-MX" w:bidi="ar"/>
              </w:rPr>
              <w:t>a)</w:t>
            </w:r>
            <w:r>
              <w:rPr>
                <w:rFonts w:ascii="Verdana" w:hAnsi="Verdana"/>
                <w:sz w:val="20"/>
                <w:szCs w:val="20"/>
                <w:lang w:val="es-MX" w:bidi="ar"/>
              </w:rPr>
              <w:t xml:space="preserve"> Mampara en la vía pública, por día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 xml:space="preserve">    </w:t>
            </w:r>
            <w:r>
              <w:rPr>
                <w:rFonts w:ascii="Verdana" w:hAnsi="Verdana"/>
                <w:bCs/>
                <w:sz w:val="20"/>
                <w:szCs w:val="20"/>
                <w:lang w:bidi="ar"/>
              </w:rPr>
              <w:t>b)</w:t>
            </w:r>
            <w:r>
              <w:rPr>
                <w:rFonts w:ascii="Verdana" w:hAnsi="Verdana"/>
                <w:sz w:val="20"/>
                <w:szCs w:val="20"/>
                <w:lang w:bidi="ar"/>
              </w:rPr>
              <w:t xml:space="preserve"> Tijera, por mes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$57.09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w:t>
            </w:r>
            <w:r>
              <w:rPr>
                <w:rFonts w:ascii="Verdana" w:hAnsi="Verdana"/>
                <w:bCs/>
                <w:sz w:val="20"/>
                <w:szCs w:val="20"/>
                <w:lang w:val="es-MX" w:bidi="ar"/>
              </w:rPr>
              <w:t>c)</w:t>
            </w:r>
            <w:r>
              <w:rPr>
                <w:rFonts w:ascii="Verdana" w:hAnsi="Verdana"/>
                <w:sz w:val="20"/>
                <w:szCs w:val="20"/>
                <w:lang w:val="es-MX" w:bidi="ar"/>
              </w:rPr>
              <w:t xml:space="preserve"> Comercios ambulantes, por mes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$92.98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 xml:space="preserve">    d)</w:t>
            </w:r>
            <w:r>
              <w:rPr>
                <w:rFonts w:ascii="Verdana" w:hAnsi="Verdana"/>
                <w:sz w:val="20"/>
                <w:szCs w:val="20"/>
                <w:lang w:bidi="ar"/>
              </w:rPr>
              <w:t xml:space="preserve"> Inflables, por día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$77.69</w:t>
            </w:r>
          </w:p>
        </w:tc>
      </w:tr>
    </w:tbl>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El otorgamiento de los permisos incluye trabajos de supervisión y revisión del proyecto de ubicación y estructura del anuncio.</w:t>
      </w: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DECIMAQUINTA</w:t>
      </w:r>
      <w:r>
        <w:rPr>
          <w:rStyle w:val="223"/>
          <w:rFonts w:ascii="Verdana" w:hAnsi="Verdana" w:cs="Arial"/>
          <w:sz w:val="20"/>
          <w:szCs w:val="20"/>
          <w:lang w:val="es-MX"/>
        </w:rPr>
        <w:br w:type="textWrapping"/>
      </w:r>
      <w:r>
        <w:rPr>
          <w:rStyle w:val="223"/>
          <w:rFonts w:ascii="Verdana" w:hAnsi="Verdana" w:cs="Arial"/>
          <w:sz w:val="20"/>
          <w:szCs w:val="20"/>
          <w:lang w:val="es-MX"/>
        </w:rPr>
        <w:t>SERVICIOS EN MATERIA AMBIENTAL</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29</w:t>
      </w:r>
      <w:r>
        <w:rPr>
          <w:rFonts w:ascii="Verdana" w:hAnsi="Verdana"/>
          <w:sz w:val="20"/>
          <w:szCs w:val="20"/>
          <w:lang w:val="es-MX"/>
        </w:rPr>
        <w:t xml:space="preserve">. Los derechos por concepto de autorización de evaluación de impacto ambiental en obras o actividades que pretendan realizarse dentro de áreas naturales protegidas, se causarán y liquidarán a una cuota de $967.69. </w:t>
      </w:r>
    </w:p>
    <w:p>
      <w:pPr>
        <w:pStyle w:val="85"/>
        <w:jc w:val="center"/>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DECIMASEXTA</w:t>
      </w:r>
      <w:r>
        <w:rPr>
          <w:rStyle w:val="223"/>
          <w:rFonts w:ascii="Verdana" w:hAnsi="Verdana" w:cs="Arial"/>
          <w:sz w:val="20"/>
          <w:szCs w:val="20"/>
          <w:lang w:val="es-MX"/>
        </w:rPr>
        <w:br w:type="textWrapping"/>
      </w:r>
      <w:bookmarkStart w:id="1" w:name="_Hlk56726321"/>
      <w:r>
        <w:rPr>
          <w:rStyle w:val="223"/>
          <w:rFonts w:ascii="Verdana" w:hAnsi="Verdana" w:cs="Arial"/>
          <w:sz w:val="20"/>
          <w:szCs w:val="20"/>
          <w:lang w:val="es-MX"/>
        </w:rPr>
        <w:t>EXPEDICIÓN DE CERTIFICACIONES, CONSTANCIAS Y CARTAS</w:t>
      </w:r>
      <w:bookmarkEnd w:id="1"/>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30</w:t>
      </w:r>
      <w:r>
        <w:rPr>
          <w:rFonts w:ascii="Verdana" w:hAnsi="Verdana"/>
          <w:sz w:val="20"/>
          <w:szCs w:val="20"/>
          <w:lang w:val="es-MX"/>
        </w:rPr>
        <w:t>. Los derechos por la expedición de certificaciones, constancias y cartas se causarán y liquidarán de conformidad con la siguiente:</w:t>
      </w:r>
    </w:p>
    <w:p>
      <w:pPr>
        <w:pStyle w:val="85"/>
        <w:jc w:val="both"/>
        <w:rPr>
          <w:rFonts w:ascii="Verdana" w:hAnsi="Verdana"/>
          <w:sz w:val="20"/>
          <w:szCs w:val="20"/>
        </w:rPr>
      </w:pPr>
    </w:p>
    <w:p>
      <w:pPr>
        <w:pStyle w:val="85"/>
        <w:jc w:val="center"/>
        <w:rPr>
          <w:rFonts w:ascii="Verdana" w:hAnsi="Verdana"/>
          <w:b/>
          <w:bCs/>
          <w:sz w:val="20"/>
          <w:szCs w:val="20"/>
        </w:rPr>
      </w:pPr>
      <w:r>
        <w:rPr>
          <w:rFonts w:ascii="Verdana" w:hAnsi="Verdana"/>
          <w:b/>
          <w:bCs/>
          <w:sz w:val="20"/>
          <w:szCs w:val="20"/>
        </w:rPr>
        <w:t>T A R I F A</w:t>
      </w:r>
    </w:p>
    <w:p>
      <w:pPr>
        <w:pStyle w:val="85"/>
        <w:jc w:val="both"/>
        <w:rPr>
          <w:rFonts w:ascii="Verdana" w:hAnsi="Verdana"/>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8312"/>
        <w:gridCol w:w="107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xml:space="preserve">  Constancias de valor fiscal de la propiedad raíz</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$76.95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Constancias de estado de cuenta por concepto de impuestos, derechos y aprovechamientos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$76.95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Constancias de historial catastral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$172.11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Certificaciones que expida el Secretario del Ayuntamiento</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$76.95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bookmarkStart w:id="2" w:name="_Hlk56726574"/>
            <w:r>
              <w:rPr>
                <w:rFonts w:ascii="Verdana" w:hAnsi="Verdana"/>
                <w:sz w:val="20"/>
                <w:szCs w:val="20"/>
                <w:lang w:val="es-MX" w:bidi="ar"/>
              </w:rPr>
              <w:t>Constancias que expidan las dependencias y entidades de la administración pública municipal, diferentes a las expresamente contempladas en la presente Ley</w:t>
            </w:r>
            <w:bookmarkEnd w:id="2"/>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p>
          <w:p>
            <w:pPr>
              <w:pStyle w:val="85"/>
              <w:jc w:val="both"/>
              <w:rPr>
                <w:rFonts w:ascii="Verdana" w:hAnsi="Verdana"/>
                <w:sz w:val="20"/>
                <w:szCs w:val="20"/>
                <w:lang w:val="es-MX" w:bidi="ar"/>
              </w:rPr>
            </w:pPr>
          </w:p>
          <w:p>
            <w:pPr>
              <w:pStyle w:val="85"/>
              <w:jc w:val="both"/>
              <w:rPr>
                <w:rFonts w:ascii="Verdana" w:hAnsi="Verdana"/>
                <w:sz w:val="20"/>
                <w:szCs w:val="20"/>
                <w:lang w:bidi="ar"/>
              </w:rPr>
            </w:pPr>
            <w:r>
              <w:rPr>
                <w:rFonts w:ascii="Verdana" w:hAnsi="Verdana"/>
                <w:sz w:val="20"/>
                <w:szCs w:val="20"/>
                <w:lang w:bidi="ar"/>
              </w:rPr>
              <w:t>$76.95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Copias certificadas expedidas por el Juzgado Municipal: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       a)</w:t>
            </w:r>
            <w:r>
              <w:rPr>
                <w:rFonts w:ascii="Verdana" w:hAnsi="Verdana"/>
                <w:sz w:val="20"/>
                <w:szCs w:val="20"/>
                <w:lang w:val="es-MX" w:bidi="ar"/>
              </w:rPr>
              <w:t xml:space="preserve"> Por la primera foja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$11.85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bCs/>
                <w:sz w:val="20"/>
                <w:szCs w:val="20"/>
                <w:lang w:val="es-MX" w:bidi="ar"/>
              </w:rPr>
              <w:t xml:space="preserve">       b)</w:t>
            </w:r>
            <w:r>
              <w:rPr>
                <w:rFonts w:ascii="Verdana" w:hAnsi="Verdana"/>
                <w:sz w:val="20"/>
                <w:szCs w:val="20"/>
                <w:lang w:val="es-MX" w:bidi="ar"/>
              </w:rPr>
              <w:t xml:space="preserve"> Por cada foja adicional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bCs/>
                <w:sz w:val="20"/>
                <w:szCs w:val="20"/>
                <w:lang w:bidi="ar"/>
              </w:rPr>
              <w:t>VII.</w:t>
            </w:r>
            <w:r>
              <w:rPr>
                <w:rFonts w:ascii="Verdana" w:hAnsi="Verdana"/>
                <w:sz w:val="20"/>
                <w:szCs w:val="20"/>
                <w:lang w:bidi="ar"/>
              </w:rPr>
              <w:t xml:space="preserve"> Cartas de origen</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$76.95</w:t>
            </w:r>
          </w:p>
        </w:tc>
      </w:tr>
    </w:tbl>
    <w:p>
      <w:pPr>
        <w:pStyle w:val="85"/>
        <w:jc w:val="both"/>
        <w:rPr>
          <w:rFonts w:ascii="Verdana" w:hAnsi="Verdana"/>
          <w:sz w:val="20"/>
          <w:szCs w:val="20"/>
        </w:rPr>
      </w:pPr>
      <w:r>
        <w:rPr>
          <w:rFonts w:ascii="Verdana" w:hAnsi="Verdana"/>
          <w:sz w:val="20"/>
          <w:szCs w:val="20"/>
        </w:rPr>
        <w:t xml:space="preserve"> </w:t>
      </w:r>
    </w:p>
    <w:p>
      <w:pPr>
        <w:pStyle w:val="85"/>
        <w:jc w:val="both"/>
        <w:rPr>
          <w:rStyle w:val="223"/>
          <w:rFonts w:ascii="Verdana" w:hAnsi="Verdana" w:cs="Arial"/>
          <w:sz w:val="20"/>
          <w:szCs w:val="20"/>
        </w:rPr>
      </w:pPr>
      <w:r>
        <w:rPr>
          <w:rFonts w:ascii="Verdana" w:hAnsi="Verdana"/>
          <w:sz w:val="20"/>
          <w:szCs w:val="20"/>
        </w:rPr>
        <w:t xml:space="preserve">  </w:t>
      </w:r>
    </w:p>
    <w:p>
      <w:pPr>
        <w:pStyle w:val="85"/>
        <w:jc w:val="center"/>
        <w:rPr>
          <w:rStyle w:val="223"/>
          <w:rFonts w:ascii="Verdana" w:hAnsi="Verdana" w:cs="Arial"/>
          <w:sz w:val="20"/>
          <w:szCs w:val="20"/>
          <w:lang w:val="es-MX"/>
        </w:rPr>
      </w:pPr>
      <w:r>
        <w:rPr>
          <w:rStyle w:val="223"/>
          <w:rFonts w:ascii="Verdana" w:hAnsi="Verdana" w:cs="Arial"/>
          <w:sz w:val="20"/>
          <w:szCs w:val="20"/>
          <w:lang w:val="es-MX"/>
        </w:rPr>
        <w:t>SECCIÓN DECIMASÉPTIMA</w:t>
      </w:r>
      <w:r>
        <w:rPr>
          <w:rStyle w:val="223"/>
          <w:rFonts w:ascii="Verdana" w:hAnsi="Verdana" w:cs="Arial"/>
          <w:sz w:val="20"/>
          <w:szCs w:val="20"/>
          <w:lang w:val="es-MX"/>
        </w:rPr>
        <w:br w:type="textWrapping"/>
      </w:r>
      <w:r>
        <w:rPr>
          <w:rStyle w:val="223"/>
          <w:rFonts w:ascii="Verdana" w:hAnsi="Verdana" w:cs="Arial"/>
          <w:sz w:val="20"/>
          <w:szCs w:val="20"/>
          <w:lang w:val="es-MX"/>
        </w:rPr>
        <w:t>SERVICIO DE ALUMBRADO PÚBLICO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 xml:space="preserve"> </w:t>
      </w:r>
      <w:r>
        <w:rPr>
          <w:rFonts w:ascii="Verdana" w:hAnsi="Verdana"/>
          <w:sz w:val="20"/>
          <w:szCs w:val="20"/>
          <w:lang w:val="es-MX"/>
        </w:rPr>
        <w:tab/>
      </w:r>
      <w:r>
        <w:rPr>
          <w:rStyle w:val="223"/>
          <w:rFonts w:ascii="Verdana" w:hAnsi="Verdana" w:cs="Arial"/>
          <w:sz w:val="20"/>
          <w:szCs w:val="20"/>
          <w:lang w:val="es-MX"/>
        </w:rPr>
        <w:t>Artículo 31</w:t>
      </w:r>
      <w:r>
        <w:rPr>
          <w:rFonts w:ascii="Verdana" w:hAnsi="Verdana"/>
          <w:sz w:val="20"/>
          <w:szCs w:val="20"/>
          <w:lang w:val="es-MX"/>
        </w:rPr>
        <w:t>. Los derechos por la prestación del servicio de alumbrado público, se causarán y liquidarán de conformidad con lo dispuesto por la Ley de Hacienda para los Municipios del Estado de Guanajuato y lo previsto en la presente Ley, y con base en la siguiente:</w:t>
      </w:r>
    </w:p>
    <w:p>
      <w:pPr>
        <w:pStyle w:val="85"/>
        <w:jc w:val="both"/>
        <w:rPr>
          <w:rFonts w:ascii="Verdana" w:hAnsi="Verdana" w:eastAsia="Calibri"/>
          <w:sz w:val="20"/>
          <w:szCs w:val="20"/>
        </w:rPr>
      </w:pPr>
    </w:p>
    <w:p>
      <w:pPr>
        <w:pStyle w:val="85"/>
        <w:jc w:val="center"/>
        <w:rPr>
          <w:rFonts w:ascii="Verdana" w:hAnsi="Verdana" w:eastAsia="Calibri"/>
          <w:b/>
          <w:bCs/>
          <w:sz w:val="20"/>
          <w:szCs w:val="20"/>
        </w:rPr>
      </w:pPr>
      <w:r>
        <w:rPr>
          <w:rFonts w:ascii="Verdana" w:hAnsi="Verdana" w:eastAsia="Calibri"/>
          <w:b/>
          <w:bCs/>
          <w:sz w:val="20"/>
          <w:szCs w:val="20"/>
        </w:rPr>
        <w:t>T A R I F A</w:t>
      </w:r>
    </w:p>
    <w:p>
      <w:pPr>
        <w:pStyle w:val="85"/>
        <w:jc w:val="both"/>
        <w:rPr>
          <w:rFonts w:ascii="Verdana" w:hAnsi="Verdana" w:eastAsia="Calibri"/>
          <w:sz w:val="20"/>
          <w:szCs w:val="20"/>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482"/>
        <w:gridCol w:w="1779"/>
        <w:gridCol w:w="224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Cs/>
                <w:sz w:val="20"/>
                <w:szCs w:val="20"/>
                <w:lang w:bidi="ar"/>
              </w:rPr>
            </w:pPr>
            <w:r>
              <w:rPr>
                <w:rFonts w:ascii="Verdana" w:hAnsi="Verdana"/>
                <w:bCs/>
                <w:sz w:val="20"/>
                <w:szCs w:val="20"/>
                <w:lang w:bidi="ar"/>
              </w:rPr>
              <w:t>I.</w:t>
            </w:r>
          </w:p>
        </w:tc>
        <w:tc>
          <w:tcPr>
            <w:tcW w:w="1779"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$1,263.41</w:t>
            </w:r>
          </w:p>
        </w:tc>
        <w:tc>
          <w:tcPr>
            <w:tcW w:w="224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mensual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bCs/>
                <w:sz w:val="20"/>
                <w:szCs w:val="20"/>
                <w:lang w:bidi="ar"/>
              </w:rPr>
            </w:pPr>
            <w:r>
              <w:rPr>
                <w:rFonts w:ascii="Verdana" w:hAnsi="Verdana"/>
                <w:bCs/>
                <w:sz w:val="20"/>
                <w:szCs w:val="20"/>
                <w:lang w:bidi="ar"/>
              </w:rPr>
              <w:t>II.</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$2,526.82</w:t>
            </w:r>
          </w:p>
        </w:tc>
        <w:tc>
          <w:tcPr>
            <w:tcW w:w="2244" w:type="dxa"/>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bimestral</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Fonts w:ascii="Verdana" w:hAnsi="Verdana"/>
          <w:sz w:val="20"/>
          <w:szCs w:val="20"/>
          <w:lang w:val="es-MX"/>
        </w:rPr>
        <w:t>Aplicará la tarifa mensual o bimestral según el periodo de facturación de la Comisión Federal de Electricidad.</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Fonts w:ascii="Verdana" w:hAnsi="Verdana"/>
          <w:sz w:val="20"/>
          <w:szCs w:val="20"/>
          <w:lang w:val="es-MX"/>
        </w:rPr>
        <w:t xml:space="preserve">Los usuarios de este servicio que no tengan cuenta con la Comisión Federal de Electricidad pagarán este derecho en los periodos y a través de los recibos que para tal efecto expida la Tesorería Municipal. </w:t>
      </w:r>
    </w:p>
    <w:p>
      <w:pPr>
        <w:pStyle w:val="85"/>
        <w:jc w:val="both"/>
        <w:rPr>
          <w:rFonts w:ascii="Verdana" w:hAnsi="Verdana"/>
          <w:sz w:val="20"/>
          <w:szCs w:val="20"/>
          <w:lang w:val="es-MX"/>
        </w:rPr>
      </w:pPr>
    </w:p>
    <w:p>
      <w:pPr>
        <w:pStyle w:val="85"/>
        <w:jc w:val="center"/>
        <w:rPr>
          <w:rFonts w:ascii="Verdana" w:hAnsi="Verdana"/>
          <w:sz w:val="20"/>
          <w:szCs w:val="20"/>
          <w:lang w:val="es-MX"/>
        </w:rPr>
      </w:pPr>
      <w:r>
        <w:rPr>
          <w:rFonts w:ascii="Verdana" w:hAnsi="Verdana"/>
          <w:sz w:val="20"/>
          <w:szCs w:val="20"/>
          <w:lang w:val="es-MX"/>
        </w:rPr>
        <w:t>CAPÍTULO QUINTO</w:t>
      </w:r>
      <w:r>
        <w:rPr>
          <w:rFonts w:ascii="Verdana" w:hAnsi="Verdana"/>
          <w:sz w:val="20"/>
          <w:szCs w:val="20"/>
          <w:lang w:val="es-MX"/>
        </w:rPr>
        <w:br w:type="textWrapping"/>
      </w:r>
      <w:r>
        <w:rPr>
          <w:rFonts w:ascii="Verdana" w:hAnsi="Verdana"/>
          <w:sz w:val="20"/>
          <w:szCs w:val="20"/>
          <w:lang w:val="es-MX"/>
        </w:rPr>
        <w:t>CONTRIBUCIONES DE MEJORA</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32</w:t>
      </w:r>
      <w:r>
        <w:rPr>
          <w:rFonts w:ascii="Verdana" w:hAnsi="Verdana"/>
          <w:sz w:val="20"/>
          <w:szCs w:val="20"/>
          <w:lang w:val="es-MX"/>
        </w:rPr>
        <w:t xml:space="preserve">. La contribución de mejoras se causará y liquidará en los términos de la Ley de Hacienda para los Municipios del Estado de Guanajuato. </w:t>
      </w:r>
    </w:p>
    <w:p>
      <w:pPr>
        <w:pStyle w:val="85"/>
        <w:jc w:val="both"/>
        <w:rPr>
          <w:rFonts w:ascii="Verdana" w:hAnsi="Verdana"/>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CAPÍTULO SEXTO</w:t>
      </w:r>
      <w:r>
        <w:rPr>
          <w:rFonts w:ascii="Verdana" w:hAnsi="Verdana"/>
          <w:b/>
          <w:bCs/>
          <w:sz w:val="20"/>
          <w:szCs w:val="20"/>
          <w:lang w:val="es-MX"/>
        </w:rPr>
        <w:br w:type="textWrapping"/>
      </w:r>
      <w:r>
        <w:rPr>
          <w:rFonts w:ascii="Verdana" w:hAnsi="Verdana"/>
          <w:b/>
          <w:bCs/>
          <w:sz w:val="20"/>
          <w:szCs w:val="20"/>
          <w:lang w:val="es-MX"/>
        </w:rPr>
        <w:t>PRODUCTOS</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33</w:t>
      </w:r>
      <w:r>
        <w:rPr>
          <w:rFonts w:ascii="Verdana" w:hAnsi="Verdana"/>
          <w:sz w:val="20"/>
          <w:szCs w:val="20"/>
          <w:lang w:val="es-MX"/>
        </w:rPr>
        <w:t xml:space="preserve">. Los productos que tiene derecho a percibir el Municipio se regularán por los contratos o convenios que se celebren, y su importe deberá enterarse en los plazos, términos y condiciones que en los mismos se establezcan y de acuerdo a lo señalado en la Ley de Hacienda para los Municipios del Estado de Guanajuato. </w:t>
      </w:r>
    </w:p>
    <w:p>
      <w:pPr>
        <w:pStyle w:val="85"/>
        <w:jc w:val="both"/>
        <w:rPr>
          <w:rFonts w:ascii="Verdana" w:hAnsi="Verdana"/>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CAPÍTULO SÉPTIMO</w:t>
      </w:r>
      <w:r>
        <w:rPr>
          <w:rFonts w:ascii="Verdana" w:hAnsi="Verdana"/>
          <w:b/>
          <w:bCs/>
          <w:sz w:val="20"/>
          <w:szCs w:val="20"/>
          <w:lang w:val="es-MX"/>
        </w:rPr>
        <w:br w:type="textWrapping"/>
      </w:r>
      <w:r>
        <w:rPr>
          <w:rFonts w:ascii="Verdana" w:hAnsi="Verdana"/>
          <w:b/>
          <w:bCs/>
          <w:sz w:val="20"/>
          <w:szCs w:val="20"/>
          <w:lang w:val="es-MX"/>
        </w:rPr>
        <w:t>APROVECHAMIENTOS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34</w:t>
      </w:r>
      <w:r>
        <w:rPr>
          <w:rFonts w:ascii="Verdana" w:hAnsi="Verdana"/>
          <w:sz w:val="20"/>
          <w:szCs w:val="20"/>
          <w:lang w:val="es-MX"/>
        </w:rPr>
        <w:t>. Los aprovechamientos que percibirá el Municipio, serán además de los previstos en la Ley de Hacienda para los Municipios del Estado de Guanajuato, aquellos recursos que obtenga de los fondos de aportación federal.</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35</w:t>
      </w:r>
      <w:r>
        <w:rPr>
          <w:rFonts w:ascii="Verdana" w:hAnsi="Verdana"/>
          <w:sz w:val="20"/>
          <w:szCs w:val="20"/>
          <w:lang w:val="es-MX"/>
        </w:rPr>
        <w:t>. Cuando no se pague un crédito fiscal en la fecha o dentro del plazo señalado en las disposiciones respectivas, se cobrarán recargos a la tasa del 3% mensual.</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Cuando se conceda prórroga o autorización para pagar en parcialidades los créditos fiscales, se causarán recargos sobre el saldo insoluto a la tasa del 2% mensual.</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r>
        <w:rPr>
          <w:rStyle w:val="223"/>
          <w:rFonts w:ascii="Verdana" w:hAnsi="Verdana" w:cs="Arial"/>
          <w:sz w:val="20"/>
          <w:szCs w:val="20"/>
          <w:lang w:val="es-MX"/>
        </w:rPr>
        <w:t>Artículo 36</w:t>
      </w:r>
      <w:r>
        <w:rPr>
          <w:rFonts w:ascii="Verdana" w:hAnsi="Verdana"/>
          <w:sz w:val="20"/>
          <w:szCs w:val="20"/>
          <w:lang w:val="es-MX"/>
        </w:rPr>
        <w:t>. Los aprovechamientos por concepto de gastos de ejecución, se causarán a la tasa del 2% sobre el adeudo por cada una de las diligencias que a continuación se indican:</w:t>
      </w:r>
    </w:p>
    <w:p>
      <w:pPr>
        <w:pStyle w:val="85"/>
        <w:jc w:val="both"/>
        <w:rPr>
          <w:rFonts w:ascii="Verdana" w:hAnsi="Verdana"/>
          <w:sz w:val="20"/>
          <w:szCs w:val="20"/>
          <w:lang w:val="es-MX"/>
        </w:rPr>
      </w:pPr>
      <w:r>
        <w:rPr>
          <w:rFonts w:ascii="Verdana" w:hAnsi="Verdana"/>
          <w:sz w:val="20"/>
          <w:szCs w:val="20"/>
          <w:lang w:val="es-MX"/>
        </w:rPr>
        <w:t xml:space="preserve"> I.         Por el requerimiento de pago;</w:t>
      </w:r>
    </w:p>
    <w:p>
      <w:pPr>
        <w:pStyle w:val="85"/>
        <w:jc w:val="both"/>
        <w:rPr>
          <w:rFonts w:ascii="Verdana" w:hAnsi="Verdana"/>
          <w:sz w:val="20"/>
          <w:szCs w:val="20"/>
          <w:lang w:val="es-MX"/>
        </w:rPr>
      </w:pPr>
      <w:r>
        <w:rPr>
          <w:rFonts w:ascii="Verdana" w:hAnsi="Verdana"/>
          <w:sz w:val="20"/>
          <w:szCs w:val="20"/>
          <w:lang w:val="es-MX"/>
        </w:rPr>
        <w:t>II.       Por la del embargo; y</w:t>
      </w:r>
    </w:p>
    <w:p>
      <w:pPr>
        <w:pStyle w:val="85"/>
        <w:jc w:val="both"/>
        <w:rPr>
          <w:rFonts w:ascii="Verdana" w:hAnsi="Verdana"/>
          <w:sz w:val="20"/>
          <w:szCs w:val="20"/>
          <w:lang w:val="es-MX"/>
        </w:rPr>
      </w:pPr>
      <w:r>
        <w:rPr>
          <w:rFonts w:ascii="Verdana" w:hAnsi="Verdana"/>
          <w:sz w:val="20"/>
          <w:szCs w:val="20"/>
          <w:lang w:val="es-MX"/>
        </w:rPr>
        <w:t xml:space="preserve"> III.     Por la del remate.</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Cuando en los casos de las fracciones anteriores, el 2% del adeudo sea inferior a dos veces el valor diario de la Unidad de Medida y Actualización, se cobrará esta cantidad en lugar del 2% del adeudo.</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En ningún caso los gastos de ejecución a que se refiere cada una de las fracciones anteriores, podrá exceder de la cantidad que represente tres veces el valor mensual de la Unidad de Medida y Actualización.</w:t>
      </w:r>
    </w:p>
    <w:p>
      <w:pPr>
        <w:pStyle w:val="85"/>
        <w:jc w:val="both"/>
        <w:rPr>
          <w:rStyle w:val="223"/>
          <w:rFonts w:ascii="Verdana" w:hAnsi="Verdana" w:cs="Arial"/>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37</w:t>
      </w:r>
      <w:r>
        <w:rPr>
          <w:rFonts w:ascii="Verdana" w:hAnsi="Verdana"/>
          <w:sz w:val="20"/>
          <w:szCs w:val="20"/>
          <w:lang w:val="es-MX"/>
        </w:rPr>
        <w:t>. Los aprovechamientos por concepto de multas fiscales se cubrirán conforme a las disposiciones relativas al Título Segundo, Capítulo Único de la Ley de Hacienda para los Municipios del Estado de Guanajuato.</w:t>
      </w:r>
    </w:p>
    <w:p>
      <w:pPr>
        <w:pStyle w:val="85"/>
        <w:jc w:val="both"/>
        <w:rPr>
          <w:rFonts w:ascii="Verdana" w:hAnsi="Verdana"/>
          <w:sz w:val="20"/>
          <w:szCs w:val="20"/>
          <w:lang w:val="es-MX"/>
        </w:rPr>
      </w:pPr>
      <w:r>
        <w:rPr>
          <w:rFonts w:ascii="Verdana" w:hAnsi="Verdana"/>
          <w:sz w:val="20"/>
          <w:szCs w:val="20"/>
          <w:lang w:val="es-MX"/>
        </w:rPr>
        <w:t xml:space="preserve"> Los aprovechamientos por concepto de multas administrativas se cubrirán conforme a las tarifas establecidas en los reglamentos municipales.  </w:t>
      </w:r>
    </w:p>
    <w:p>
      <w:pPr>
        <w:pStyle w:val="85"/>
        <w:jc w:val="both"/>
        <w:rPr>
          <w:rFonts w:ascii="Verdana" w:hAnsi="Verdana"/>
          <w:sz w:val="20"/>
          <w:szCs w:val="20"/>
          <w:lang w:val="es-MX"/>
        </w:rPr>
      </w:pPr>
    </w:p>
    <w:p>
      <w:pPr>
        <w:pStyle w:val="85"/>
        <w:jc w:val="center"/>
        <w:rPr>
          <w:rFonts w:ascii="Verdana" w:hAnsi="Verdana"/>
          <w:b/>
          <w:bCs/>
          <w:sz w:val="20"/>
          <w:szCs w:val="20"/>
          <w:lang w:val="es-MX"/>
        </w:rPr>
      </w:pPr>
    </w:p>
    <w:p>
      <w:pPr>
        <w:pStyle w:val="85"/>
        <w:jc w:val="center"/>
        <w:rPr>
          <w:rFonts w:ascii="Verdana" w:hAnsi="Verdana"/>
          <w:b/>
          <w:bCs/>
          <w:sz w:val="20"/>
          <w:szCs w:val="20"/>
          <w:lang w:val="es-MX"/>
        </w:rPr>
      </w:pPr>
      <w:r>
        <w:rPr>
          <w:rFonts w:ascii="Verdana" w:hAnsi="Verdana"/>
          <w:b/>
          <w:bCs/>
          <w:sz w:val="20"/>
          <w:szCs w:val="20"/>
          <w:lang w:val="es-MX"/>
        </w:rPr>
        <w:t>CAPÍTULO OCTAVO</w:t>
      </w:r>
      <w:r>
        <w:rPr>
          <w:rFonts w:ascii="Verdana" w:hAnsi="Verdana"/>
          <w:b/>
          <w:bCs/>
          <w:sz w:val="20"/>
          <w:szCs w:val="20"/>
          <w:lang w:val="es-MX"/>
        </w:rPr>
        <w:br w:type="textWrapping"/>
      </w:r>
      <w:r>
        <w:rPr>
          <w:rFonts w:ascii="Verdana" w:hAnsi="Verdana"/>
          <w:b/>
          <w:bCs/>
          <w:sz w:val="20"/>
          <w:szCs w:val="20"/>
          <w:lang w:val="es-MX"/>
        </w:rPr>
        <w:t>PARTICIPACIONES FEDERALES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38</w:t>
      </w:r>
      <w:r>
        <w:rPr>
          <w:rFonts w:ascii="Verdana" w:hAnsi="Verdana"/>
          <w:sz w:val="20"/>
          <w:szCs w:val="20"/>
          <w:lang w:val="es-MX"/>
        </w:rPr>
        <w:t xml:space="preserve">. El Municipio percibirá las cantidades que le correspondan por concepto de participaciones federales, de acuerdo a lo dispuesto en la Ley de Coordinación Fiscal del Estado.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b/>
          <w:bCs/>
          <w:sz w:val="20"/>
          <w:szCs w:val="20"/>
          <w:lang w:val="es-MX"/>
        </w:rPr>
      </w:pPr>
      <w:r>
        <w:rPr>
          <w:rFonts w:ascii="Verdana" w:hAnsi="Verdana"/>
          <w:b/>
          <w:bCs/>
          <w:sz w:val="20"/>
          <w:szCs w:val="20"/>
          <w:lang w:val="es-MX"/>
        </w:rPr>
        <w:t>CAPÍTULO NOVENO</w:t>
      </w:r>
      <w:r>
        <w:rPr>
          <w:rFonts w:ascii="Verdana" w:hAnsi="Verdana"/>
          <w:b/>
          <w:bCs/>
          <w:sz w:val="20"/>
          <w:szCs w:val="20"/>
          <w:lang w:val="es-MX"/>
        </w:rPr>
        <w:br w:type="textWrapping"/>
      </w:r>
      <w:r>
        <w:rPr>
          <w:rFonts w:ascii="Verdana" w:hAnsi="Verdana"/>
          <w:b/>
          <w:bCs/>
          <w:sz w:val="20"/>
          <w:szCs w:val="20"/>
          <w:lang w:val="es-MX"/>
        </w:rPr>
        <w:t>INGRESOS EXTRAORDINARIOS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39</w:t>
      </w:r>
      <w:r>
        <w:rPr>
          <w:rFonts w:ascii="Verdana" w:hAnsi="Verdana"/>
          <w:sz w:val="20"/>
          <w:szCs w:val="20"/>
          <w:lang w:val="es-MX"/>
        </w:rPr>
        <w:t xml:space="preserve">. El Municipio podrá percibir ingresos extraordinarios cuando así lo decrete de manera excepcional el Congreso del Estado.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b/>
          <w:bCs/>
          <w:sz w:val="20"/>
          <w:szCs w:val="20"/>
          <w:lang w:val="es-MX"/>
        </w:rPr>
      </w:pPr>
      <w:r>
        <w:rPr>
          <w:rFonts w:ascii="Verdana" w:hAnsi="Verdana"/>
          <w:b/>
          <w:bCs/>
          <w:sz w:val="20"/>
          <w:szCs w:val="20"/>
          <w:lang w:val="es-MX"/>
        </w:rPr>
        <w:t>CAPÍTULO DÉCIMO</w:t>
      </w:r>
      <w:r>
        <w:rPr>
          <w:rFonts w:ascii="Verdana" w:hAnsi="Verdana"/>
          <w:b/>
          <w:bCs/>
          <w:sz w:val="20"/>
          <w:szCs w:val="20"/>
          <w:lang w:val="es-MX"/>
        </w:rPr>
        <w:br w:type="textWrapping"/>
      </w:r>
      <w:r>
        <w:rPr>
          <w:rFonts w:ascii="Verdana" w:hAnsi="Verdana"/>
          <w:b/>
          <w:bCs/>
          <w:sz w:val="20"/>
          <w:szCs w:val="20"/>
          <w:lang w:val="es-MX"/>
        </w:rPr>
        <w:t>FACILIDADES ADMINISTRATIVAS Y ESTÍMULOS FISCALES</w:t>
      </w:r>
    </w:p>
    <w:p>
      <w:pPr>
        <w:pStyle w:val="85"/>
        <w:jc w:val="center"/>
        <w:rPr>
          <w:rFonts w:ascii="Verdana" w:hAnsi="Verdana"/>
          <w:b/>
          <w:bCs/>
          <w:sz w:val="20"/>
          <w:szCs w:val="20"/>
          <w:lang w:val="es-MX"/>
        </w:rPr>
      </w:pPr>
    </w:p>
    <w:p>
      <w:pPr>
        <w:pStyle w:val="85"/>
        <w:jc w:val="center"/>
        <w:rPr>
          <w:rFonts w:ascii="Verdana" w:hAnsi="Verdana"/>
          <w:b/>
          <w:bCs/>
          <w:sz w:val="20"/>
          <w:szCs w:val="20"/>
          <w:lang w:val="es-MX"/>
        </w:rPr>
      </w:pPr>
      <w:r>
        <w:rPr>
          <w:rStyle w:val="223"/>
          <w:rFonts w:ascii="Verdana" w:hAnsi="Verdana" w:cs="Arial"/>
          <w:bCs/>
          <w:sz w:val="20"/>
          <w:szCs w:val="20"/>
          <w:lang w:val="es-MX"/>
        </w:rPr>
        <w:t>SECCIÓN PRIMERA</w:t>
      </w:r>
      <w:r>
        <w:rPr>
          <w:rStyle w:val="223"/>
          <w:rFonts w:ascii="Verdana" w:hAnsi="Verdana" w:cs="Arial"/>
          <w:bCs/>
          <w:sz w:val="20"/>
          <w:szCs w:val="20"/>
          <w:lang w:val="es-MX"/>
        </w:rPr>
        <w:br w:type="textWrapping"/>
      </w:r>
      <w:r>
        <w:rPr>
          <w:rStyle w:val="223"/>
          <w:rFonts w:ascii="Verdana" w:hAnsi="Verdana" w:cs="Arial"/>
          <w:bCs/>
          <w:sz w:val="20"/>
          <w:szCs w:val="20"/>
          <w:lang w:val="es-MX"/>
        </w:rPr>
        <w:t>IMPUESTO PREDIAL</w:t>
      </w:r>
    </w:p>
    <w:p>
      <w:pPr>
        <w:pStyle w:val="85"/>
        <w:ind w:firstLine="708"/>
        <w:jc w:val="both"/>
        <w:rPr>
          <w:rFonts w:ascii="Verdana" w:hAnsi="Verdana"/>
          <w:sz w:val="20"/>
          <w:szCs w:val="20"/>
          <w:lang w:val="es-MX"/>
        </w:rPr>
      </w:pPr>
      <w:r>
        <w:rPr>
          <w:rStyle w:val="223"/>
          <w:rFonts w:ascii="Verdana" w:hAnsi="Verdana"/>
          <w:sz w:val="20"/>
          <w:szCs w:val="20"/>
          <w:lang w:val="es-MX"/>
        </w:rPr>
        <w:t>Artículo 40</w:t>
      </w:r>
      <w:r>
        <w:rPr>
          <w:rFonts w:ascii="Verdana" w:hAnsi="Verdana"/>
          <w:sz w:val="20"/>
          <w:szCs w:val="20"/>
          <w:lang w:val="es-MX"/>
        </w:rPr>
        <w:t>. La cuota mínima anual del impuesto predial será de $337.21, de conformidad con lo establecido por el artículo 164 de la Ley de Hacienda para los Municipios del Estado de Guanajuato.</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Asimismo, los propietarios o poseedores de bienes inmuebles que se encuentran en los siguientes supuestos, pagarán la cuota mínima del impuesto predial:</w:t>
      </w:r>
    </w:p>
    <w:p>
      <w:pPr>
        <w:pStyle w:val="85"/>
        <w:jc w:val="both"/>
        <w:rPr>
          <w:rFonts w:ascii="Verdana" w:hAnsi="Verdana"/>
          <w:sz w:val="20"/>
          <w:szCs w:val="20"/>
          <w:lang w:val="es-MX"/>
        </w:rPr>
      </w:pPr>
      <w:r>
        <w:rPr>
          <w:rFonts w:ascii="Verdana" w:hAnsi="Verdana"/>
          <w:sz w:val="20"/>
          <w:szCs w:val="20"/>
          <w:lang w:val="es-MX"/>
        </w:rPr>
        <w:t>Las casas habitación que pertenezcan a personas con discapacidad que les impida laborar, debiendo de anexar constancia médica que lo acredite; y</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Los inmuebles que se hayan dado en comodato a favor del Municipio y que sean destinados a actividades deportivas, recreativas o culturales.</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Los inmuebles que como resultado de la aplicación de las tasas que señala la presente Ley, les resulte una cantidad inferior a la cuota mínima, pagarán la cuota mínima establecida en este artículo.</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41</w:t>
      </w:r>
      <w:r>
        <w:rPr>
          <w:rFonts w:ascii="Verdana" w:hAnsi="Verdana"/>
          <w:sz w:val="20"/>
          <w:szCs w:val="20"/>
          <w:lang w:val="es-MX"/>
        </w:rPr>
        <w:t xml:space="preserve">. Los contribuyentes del impuesto predial que cubran anticipadamente el impuesto por la anualidad dentro del primer bimestre de 2021 tendrán un descuento del 15% de su importe, excepto los que tributen bajo cuota mínima.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SEGUNDA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AGUA POTABLE</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w:t>
      </w:r>
      <w:r>
        <w:rPr>
          <w:rStyle w:val="223"/>
          <w:rFonts w:ascii="Verdana" w:hAnsi="Verdana"/>
          <w:sz w:val="20"/>
          <w:szCs w:val="20"/>
          <w:lang w:val="es-MX"/>
        </w:rPr>
        <w:t xml:space="preserve"> 42</w:t>
      </w:r>
      <w:r>
        <w:rPr>
          <w:rFonts w:ascii="Verdana" w:hAnsi="Verdana"/>
          <w:sz w:val="20"/>
          <w:szCs w:val="20"/>
          <w:lang w:val="es-MX"/>
        </w:rPr>
        <w:t>. Tratándose de los derechos por la prestación de los servicios de agua potable se aplicarán los siguientes beneficios:</w:t>
      </w:r>
    </w:p>
    <w:p>
      <w:pPr>
        <w:pStyle w:val="85"/>
        <w:jc w:val="both"/>
        <w:rPr>
          <w:rFonts w:ascii="Verdana" w:hAnsi="Verdana"/>
          <w:sz w:val="20"/>
          <w:szCs w:val="20"/>
        </w:rPr>
      </w:pPr>
      <w:r>
        <w:rPr>
          <w:rFonts w:ascii="Verdana" w:hAnsi="Verdana"/>
          <w:sz w:val="20"/>
          <w:szCs w:val="20"/>
          <w:lang w:val="es-MX"/>
        </w:rPr>
        <w:t xml:space="preserve">Las personas adultas mayores y personas discapacitadas gozarán de un descuento del 20% sobre un consumo máximo de 20 metros cúbicos bimestrales. Este descuento se aplicará al momento en que se realicen los pagos bimestrales correspondientes y solamente aplicará en la casa que habite el beneficiario y exclusivamente para el agua de uso doméstico. Los consumos adicionales a los 20 metros cúbicos los pagarán a los precios establecidos en la fracción I del artículo 14 de esta Ley. </w:t>
      </w:r>
      <w:r>
        <w:rPr>
          <w:rFonts w:ascii="Verdana" w:hAnsi="Verdana"/>
          <w:sz w:val="20"/>
          <w:szCs w:val="20"/>
        </w:rPr>
        <w:t>El descuento no podrá ser superior al 20%.</w:t>
      </w:r>
    </w:p>
    <w:p>
      <w:pPr>
        <w:pStyle w:val="85"/>
        <w:jc w:val="both"/>
        <w:rPr>
          <w:rFonts w:ascii="Verdana" w:hAnsi="Verdana"/>
          <w:sz w:val="20"/>
          <w:szCs w:val="20"/>
        </w:rPr>
      </w:pPr>
    </w:p>
    <w:p>
      <w:pPr>
        <w:pStyle w:val="85"/>
        <w:jc w:val="both"/>
        <w:rPr>
          <w:rFonts w:ascii="Verdana" w:hAnsi="Verdana"/>
          <w:bCs/>
          <w:sz w:val="20"/>
          <w:szCs w:val="20"/>
          <w:lang w:val="es-MX"/>
        </w:rPr>
      </w:pPr>
      <w:r>
        <w:rPr>
          <w:rFonts w:ascii="Verdana" w:hAnsi="Verdana"/>
          <w:sz w:val="20"/>
          <w:szCs w:val="20"/>
          <w:lang w:val="es-MX"/>
        </w:rPr>
        <w:t>Este beneficio será otorgado previa solicitud y acreditación de su condición al organismo operador. Los descuentos no se harán extensivos a recargos y honorarios de cobranza ni se aplican para usos comerciales y de servicios, industriales o de carácter diferente a lo doméstico. Tampoco se hará descuento cuando el usuario tenga rezagos, quedando este beneficio solamente para usuarios que se encuentren al corriente en sus pagos. Quienes obtengan este beneficio no podrán acceder al beneficio contenido en la fracción III de este artículo.</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Las instituciones de beneficio social con presupuesto restringido, previa verificación del Consejo Directivo del Sistema Municipal de Agua Potable y Alcantarillado, tendrán un subsidio del 50% del volumen medido. Cuando se exceda dicho volumen del que el Sistema Municipal de Agua Potable y Alcantarillado calcule, partiendo de un volumen de consumo estimado, de acuerdo a las necesidades y número de personas que habiten en el inmueble, el volumen que exceda del volumen calculado para el subsidio del pago del servicio deberá ser cubierto al precio del metro cúbico del total consumido indicado en el arancel vigente.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Los usuarios de escasos recursos que soliciten apoyo en el pago del servicio, una vez que se practique el estudio socioeconómico por parte del Sistema Municipal de Agua Potable y Alcantarillado y sea autorizado por el Consejo Directivo de dicho organismo, tendrán un subsidio en el pago del servicio de agua potable, hasta un volumen medido de consumo que no exceda de 20 metros cúbicos bimestrales o un volumen que se calcule de acuerdo a las condiciones del inmueble y número de personas que habiten en él. El volumen medido que exceda del volumen calculado para el subsidio deberá ser cubierto al precio del metro cúbico del total consumido indicado en el arancel vigente.</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En los casos en que concluida la vigencia de la carta de factibilidad resulte aún positiva la factibilidad, se podrá renovar hasta por dos ocasiones la carta y el importe a pagar por el solicitante será el equivalente al 20% sobre los precios establecidos en los incisos a y b de la fracción XIII del artículo 14 de esta Ley. La cuarta carta de factibilidad solicitada para el mismo predio se pagará sin descuento y a los precios vigentes.</w:t>
      </w:r>
    </w:p>
    <w:p>
      <w:pPr>
        <w:pStyle w:val="85"/>
        <w:jc w:val="both"/>
        <w:rPr>
          <w:rFonts w:ascii="Verdana" w:hAnsi="Verdana"/>
          <w:bCs/>
          <w:sz w:val="20"/>
          <w:szCs w:val="20"/>
          <w:lang w:val="es-MX"/>
        </w:rPr>
      </w:pPr>
    </w:p>
    <w:p>
      <w:pPr>
        <w:pStyle w:val="85"/>
        <w:jc w:val="both"/>
        <w:rPr>
          <w:rFonts w:ascii="Verdana" w:hAnsi="Verdana"/>
          <w:sz w:val="20"/>
          <w:szCs w:val="20"/>
          <w:lang w:val="es-MX"/>
        </w:rPr>
      </w:pPr>
      <w:r>
        <w:rPr>
          <w:rFonts w:ascii="Verdana" w:hAnsi="Verdana"/>
          <w:bCs/>
          <w:sz w:val="20"/>
          <w:szCs w:val="20"/>
          <w:lang w:val="es-MX"/>
        </w:rPr>
        <w:t>V.</w:t>
      </w:r>
      <w:r>
        <w:rPr>
          <w:rFonts w:ascii="Verdana" w:hAnsi="Verdana"/>
          <w:sz w:val="20"/>
          <w:szCs w:val="20"/>
          <w:lang w:val="es-MX"/>
        </w:rPr>
        <w:tab/>
      </w:r>
      <w:r>
        <w:rPr>
          <w:rFonts w:ascii="Verdana" w:hAnsi="Verdana"/>
          <w:sz w:val="20"/>
          <w:szCs w:val="20"/>
          <w:lang w:val="es-MX"/>
        </w:rPr>
        <w:t>Cuando se establezcan programas de actualización del padrón de usuarios, el organismo operador procederá a ejecutar los cambios de titular, sin cargo al usuario hasta que concluya dicho Programa.</w:t>
      </w:r>
    </w:p>
    <w:p>
      <w:pPr>
        <w:pStyle w:val="85"/>
        <w:jc w:val="both"/>
        <w:rPr>
          <w:rFonts w:ascii="Verdana" w:hAnsi="Verdana"/>
          <w:sz w:val="20"/>
          <w:szCs w:val="20"/>
          <w:lang w:val="es-MX"/>
        </w:rPr>
      </w:pPr>
    </w:p>
    <w:p>
      <w:pPr>
        <w:pStyle w:val="85"/>
        <w:jc w:val="both"/>
        <w:rPr>
          <w:rFonts w:ascii="Verdana" w:hAnsi="Verdana"/>
          <w:sz w:val="20"/>
          <w:szCs w:val="20"/>
          <w:lang w:val="es-MX"/>
        </w:rPr>
      </w:pPr>
      <w:r>
        <w:rPr>
          <w:rFonts w:ascii="Verdana" w:hAnsi="Verdana"/>
          <w:sz w:val="20"/>
          <w:szCs w:val="20"/>
          <w:lang w:val="es-MX"/>
        </w:rPr>
        <w:t>Para los usuarios no habitacionales que soliciten incorporación mediante el suministro de agua tratada, se les cobrará cada litro por segundo de su gasto máximo diario a razón del 75% de los precios contenidos en el artículo 14, fracción XIV, incisos a y b de esta Ley.</w:t>
      </w:r>
    </w:p>
    <w:p>
      <w:pPr>
        <w:pStyle w:val="85"/>
        <w:jc w:val="center"/>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TERCERA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PRESTADOS POR LA CASA DE LA CULTURA</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43</w:t>
      </w:r>
      <w:r>
        <w:rPr>
          <w:rFonts w:ascii="Verdana" w:hAnsi="Verdana"/>
          <w:sz w:val="20"/>
          <w:szCs w:val="20"/>
          <w:lang w:val="es-MX"/>
        </w:rPr>
        <w:t xml:space="preserve">. Tratándose de adultos mayores, se les hará un descuento del 50% de las cuotas establecidas en la fracción I del artículo 22 de esta Ley. También se otorgarán becas a personas de escasos recursos.  </w:t>
      </w:r>
    </w:p>
    <w:p>
      <w:pPr>
        <w:pStyle w:val="85"/>
        <w:jc w:val="both"/>
        <w:rPr>
          <w:rFonts w:ascii="Verdana" w:hAnsi="Verdana"/>
          <w:sz w:val="20"/>
          <w:szCs w:val="20"/>
          <w:lang w:val="es-MX"/>
        </w:rPr>
      </w:pPr>
    </w:p>
    <w:p>
      <w:pPr>
        <w:pStyle w:val="85"/>
        <w:jc w:val="both"/>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CUARTA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ASISTENCIA Y SALUD PÚBLICA</w:t>
      </w:r>
    </w:p>
    <w:p>
      <w:pPr>
        <w:pStyle w:val="85"/>
        <w:jc w:val="both"/>
        <w:rPr>
          <w:rStyle w:val="223"/>
          <w:rFonts w:ascii="Verdana" w:hAnsi="Verdana" w:cs="Arial"/>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44</w:t>
      </w:r>
      <w:r>
        <w:rPr>
          <w:rFonts w:ascii="Verdana" w:hAnsi="Verdana"/>
          <w:sz w:val="20"/>
          <w:szCs w:val="20"/>
          <w:lang w:val="es-MX"/>
        </w:rPr>
        <w:t>. Tratándose de personas de escasos recursos económicos, para el cobro de las cuotas establecidas en la fracción IV del artículo 23 de esta Ley, el Sistema Municipal para el Desarrollo Integral de la Familia, procederá a realizar un estudio socioeconómico para acreditar dicha situación, con base en los siguientes criterios:</w:t>
      </w:r>
    </w:p>
    <w:p>
      <w:pPr>
        <w:pStyle w:val="85"/>
        <w:jc w:val="both"/>
        <w:rPr>
          <w:rFonts w:ascii="Verdana" w:hAnsi="Verdana"/>
          <w:sz w:val="20"/>
          <w:szCs w:val="20"/>
          <w:lang w:val="es-MX"/>
        </w:rPr>
      </w:pPr>
      <w:r>
        <w:rPr>
          <w:rFonts w:ascii="Verdana" w:hAnsi="Verdana"/>
          <w:sz w:val="20"/>
          <w:szCs w:val="20"/>
          <w:lang w:val="es-MX"/>
        </w:rPr>
        <w:t xml:space="preserve"> I.           Ingreso familiar;</w:t>
      </w:r>
    </w:p>
    <w:p>
      <w:pPr>
        <w:pStyle w:val="85"/>
        <w:jc w:val="both"/>
        <w:rPr>
          <w:rFonts w:ascii="Verdana" w:hAnsi="Verdana"/>
          <w:sz w:val="20"/>
          <w:szCs w:val="20"/>
          <w:lang w:val="es-MX"/>
        </w:rPr>
      </w:pPr>
      <w:r>
        <w:rPr>
          <w:rFonts w:ascii="Verdana" w:hAnsi="Verdana"/>
          <w:sz w:val="20"/>
          <w:szCs w:val="20"/>
          <w:lang w:val="es-MX"/>
        </w:rPr>
        <w:t>II.          Número de dependientes económicos;</w:t>
      </w:r>
    </w:p>
    <w:p>
      <w:pPr>
        <w:pStyle w:val="85"/>
        <w:jc w:val="both"/>
        <w:rPr>
          <w:rFonts w:ascii="Verdana" w:hAnsi="Verdana"/>
          <w:sz w:val="20"/>
          <w:szCs w:val="20"/>
          <w:lang w:val="es-MX"/>
        </w:rPr>
      </w:pPr>
      <w:r>
        <w:rPr>
          <w:rFonts w:ascii="Verdana" w:hAnsi="Verdana"/>
          <w:sz w:val="20"/>
          <w:szCs w:val="20"/>
          <w:lang w:val="es-MX"/>
        </w:rPr>
        <w:t>III.        Grado de escolaridad y acceso a los sistemas de salud;</w:t>
      </w:r>
    </w:p>
    <w:p>
      <w:pPr>
        <w:pStyle w:val="85"/>
        <w:jc w:val="both"/>
        <w:rPr>
          <w:rFonts w:ascii="Verdana" w:hAnsi="Verdana"/>
          <w:sz w:val="20"/>
          <w:szCs w:val="20"/>
        </w:rPr>
      </w:pPr>
      <w:r>
        <w:rPr>
          <w:rFonts w:ascii="Verdana" w:hAnsi="Verdana"/>
          <w:sz w:val="20"/>
          <w:szCs w:val="20"/>
        </w:rPr>
        <w:t>IV.         Zona habitacional; y</w:t>
      </w:r>
    </w:p>
    <w:p>
      <w:pPr>
        <w:pStyle w:val="85"/>
        <w:jc w:val="both"/>
        <w:rPr>
          <w:rFonts w:ascii="Verdana" w:hAnsi="Verdana"/>
          <w:sz w:val="20"/>
          <w:szCs w:val="20"/>
        </w:rPr>
      </w:pPr>
    </w:p>
    <w:p>
      <w:pPr>
        <w:pStyle w:val="85"/>
        <w:jc w:val="both"/>
        <w:rPr>
          <w:rFonts w:ascii="Verdana" w:hAnsi="Verdana"/>
          <w:sz w:val="20"/>
          <w:szCs w:val="20"/>
        </w:rPr>
      </w:pPr>
      <w:r>
        <w:rPr>
          <w:rFonts w:ascii="Verdana" w:hAnsi="Verdana"/>
          <w:sz w:val="20"/>
          <w:szCs w:val="20"/>
        </w:rPr>
        <w:t>Edad de los solicitantes.</w:t>
      </w:r>
    </w:p>
    <w:p>
      <w:pPr>
        <w:pStyle w:val="85"/>
        <w:jc w:val="both"/>
        <w:rPr>
          <w:rFonts w:ascii="Verdana" w:hAnsi="Verdana"/>
          <w:sz w:val="20"/>
          <w:szCs w:val="20"/>
        </w:rPr>
      </w:pPr>
    </w:p>
    <w:tbl>
      <w:tblPr>
        <w:tblStyle w:val="12"/>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120" w:type="dxa"/>
          <w:bottom w:w="120" w:type="dxa"/>
          <w:right w:w="120" w:type="dxa"/>
        </w:tblCellMar>
      </w:tblPr>
      <w:tblGrid>
        <w:gridCol w:w="4341"/>
        <w:gridCol w:w="43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20" w:type="dxa"/>
            <w:bottom w:w="120" w:type="dxa"/>
            <w:right w:w="120" w:type="dxa"/>
          </w:tblCellMar>
        </w:tblPrEx>
        <w:tc>
          <w:tcPr>
            <w:tcW w:w="4341" w:type="dxa"/>
            <w:tcBorders>
              <w:top w:val="single" w:color="auto" w:sz="8" w:space="0"/>
              <w:left w:val="single" w:color="auto" w:sz="8" w:space="0"/>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bidi="ar"/>
              </w:rPr>
            </w:pPr>
            <w:r>
              <w:rPr>
                <w:rFonts w:ascii="Verdana" w:hAnsi="Verdana"/>
                <w:sz w:val="20"/>
                <w:szCs w:val="20"/>
              </w:rPr>
              <w:t xml:space="preserve"> </w:t>
            </w:r>
            <w:r>
              <w:rPr>
                <w:rFonts w:ascii="Verdana" w:hAnsi="Verdana"/>
                <w:sz w:val="20"/>
                <w:szCs w:val="20"/>
                <w:lang w:bidi="ar"/>
              </w:rPr>
              <w:t>Importe de ingresos semanal</w:t>
            </w:r>
          </w:p>
        </w:tc>
        <w:tc>
          <w:tcPr>
            <w:tcW w:w="4379" w:type="dxa"/>
            <w:tcBorders>
              <w:top w:val="single" w:color="auto" w:sz="8" w:space="0"/>
              <w:left w:val="nil"/>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val="es-MX" w:bidi="ar"/>
              </w:rPr>
            </w:pPr>
            <w:r>
              <w:rPr>
                <w:rFonts w:ascii="Verdana" w:hAnsi="Verdana"/>
                <w:sz w:val="20"/>
                <w:szCs w:val="20"/>
                <w:lang w:val="es-MX" w:bidi="ar"/>
              </w:rPr>
              <w:t>Porcentaje de descuento sobre la tarifa que corresponda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20" w:type="dxa"/>
            <w:bottom w:w="120" w:type="dxa"/>
            <w:right w:w="120" w:type="dxa"/>
          </w:tblCellMar>
        </w:tblPrEx>
        <w:tc>
          <w:tcPr>
            <w:tcW w:w="4341" w:type="dxa"/>
            <w:tcBorders>
              <w:top w:val="nil"/>
              <w:left w:val="single" w:color="auto" w:sz="8" w:space="0"/>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bidi="ar"/>
              </w:rPr>
            </w:pPr>
            <w:r>
              <w:rPr>
                <w:rFonts w:ascii="Verdana" w:hAnsi="Verdana"/>
                <w:sz w:val="20"/>
                <w:szCs w:val="20"/>
                <w:lang w:bidi="ar"/>
              </w:rPr>
              <w:t>Hasta $200.00</w:t>
            </w:r>
          </w:p>
        </w:tc>
        <w:tc>
          <w:tcPr>
            <w:tcW w:w="4379" w:type="dxa"/>
            <w:tcBorders>
              <w:top w:val="nil"/>
              <w:left w:val="nil"/>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bidi="ar"/>
              </w:rPr>
            </w:pPr>
            <w:r>
              <w:rPr>
                <w:rFonts w:ascii="Verdana" w:hAnsi="Verdana"/>
                <w:sz w:val="20"/>
                <w:szCs w:val="20"/>
                <w:lang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120" w:type="dxa"/>
            <w:bottom w:w="120" w:type="dxa"/>
            <w:right w:w="120" w:type="dxa"/>
          </w:tblCellMar>
        </w:tblPrEx>
        <w:tc>
          <w:tcPr>
            <w:tcW w:w="4341" w:type="dxa"/>
            <w:tcBorders>
              <w:top w:val="nil"/>
              <w:left w:val="single" w:color="auto" w:sz="8" w:space="0"/>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bidi="ar"/>
              </w:rPr>
            </w:pPr>
            <w:r>
              <w:rPr>
                <w:rFonts w:ascii="Verdana" w:hAnsi="Verdana"/>
                <w:sz w:val="20"/>
                <w:szCs w:val="20"/>
                <w:lang w:bidi="ar"/>
              </w:rPr>
              <w:t>De $200.01 a $400.00</w:t>
            </w:r>
          </w:p>
        </w:tc>
        <w:tc>
          <w:tcPr>
            <w:tcW w:w="4379" w:type="dxa"/>
            <w:tcBorders>
              <w:top w:val="nil"/>
              <w:left w:val="nil"/>
              <w:bottom w:val="single" w:color="auto" w:sz="8" w:space="0"/>
              <w:right w:val="single" w:color="auto" w:sz="8" w:space="0"/>
            </w:tcBorders>
            <w:tcMar>
              <w:left w:w="108" w:type="dxa"/>
              <w:bottom w:w="0" w:type="dxa"/>
              <w:right w:w="108" w:type="dxa"/>
            </w:tcMar>
          </w:tcPr>
          <w:p>
            <w:pPr>
              <w:pStyle w:val="85"/>
              <w:jc w:val="both"/>
              <w:rPr>
                <w:rFonts w:ascii="Verdana" w:hAnsi="Verdana"/>
                <w:sz w:val="20"/>
                <w:szCs w:val="20"/>
                <w:lang w:bidi="ar"/>
              </w:rPr>
            </w:pPr>
            <w:r>
              <w:rPr>
                <w:rFonts w:ascii="Verdana" w:hAnsi="Verdana"/>
                <w:sz w:val="20"/>
                <w:szCs w:val="20"/>
                <w:lang w:bidi="ar"/>
              </w:rPr>
              <w:t>50%</w:t>
            </w:r>
          </w:p>
        </w:tc>
      </w:tr>
    </w:tbl>
    <w:p>
      <w:pPr>
        <w:pStyle w:val="85"/>
        <w:jc w:val="both"/>
        <w:rPr>
          <w:rStyle w:val="223"/>
          <w:rFonts w:ascii="Verdana" w:hAnsi="Verdana" w:cs="Arial"/>
          <w:sz w:val="20"/>
          <w:szCs w:val="20"/>
        </w:rPr>
      </w:pPr>
    </w:p>
    <w:p>
      <w:pPr>
        <w:pStyle w:val="85"/>
        <w:jc w:val="center"/>
        <w:rPr>
          <w:rFonts w:ascii="Verdana" w:hAnsi="Verdana"/>
          <w:sz w:val="20"/>
          <w:szCs w:val="20"/>
          <w:lang w:val="es-MX"/>
        </w:rPr>
      </w:pPr>
      <w:r>
        <w:rPr>
          <w:rStyle w:val="223"/>
          <w:rFonts w:ascii="Verdana" w:hAnsi="Verdana" w:cs="Arial"/>
          <w:sz w:val="20"/>
          <w:szCs w:val="20"/>
          <w:lang w:val="es-MX"/>
        </w:rPr>
        <w:t>SECCIÓN QUINTA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CATASTRALES Y PRÁCTICA DE AVALÚOS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45</w:t>
      </w:r>
      <w:r>
        <w:rPr>
          <w:rFonts w:ascii="Verdana" w:hAnsi="Verdana"/>
          <w:sz w:val="20"/>
          <w:szCs w:val="20"/>
          <w:lang w:val="es-MX"/>
        </w:rPr>
        <w:t xml:space="preserve">. Tratándose de avalúos de predios rústicos que se sujeten al procedimiento de regularización previsto en la Ley para la Regularización de Predios Rústicos en el Estado de Guanajuato, se cobrará un 26% de la tarifa fijada en las fracciones II y III del artículo 26 de esta Ley.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Style w:val="223"/>
          <w:rFonts w:ascii="Verdana" w:hAnsi="Verdana" w:cs="Arial"/>
          <w:sz w:val="20"/>
          <w:szCs w:val="20"/>
          <w:lang w:val="es-MX"/>
        </w:rPr>
      </w:pPr>
    </w:p>
    <w:p>
      <w:pPr>
        <w:pStyle w:val="85"/>
        <w:jc w:val="center"/>
        <w:rPr>
          <w:rStyle w:val="223"/>
          <w:rFonts w:ascii="Verdana" w:hAnsi="Verdana" w:cs="Arial"/>
          <w:sz w:val="20"/>
          <w:szCs w:val="20"/>
          <w:lang w:val="es-MX"/>
        </w:rPr>
      </w:pPr>
      <w:r>
        <w:rPr>
          <w:rStyle w:val="223"/>
          <w:rFonts w:ascii="Verdana" w:hAnsi="Verdana" w:cs="Arial"/>
          <w:sz w:val="20"/>
          <w:szCs w:val="20"/>
          <w:lang w:val="es-MX"/>
        </w:rPr>
        <w:t>SECCIÓN SEXTA</w:t>
      </w:r>
      <w:r>
        <w:rPr>
          <w:rStyle w:val="223"/>
          <w:rFonts w:ascii="Verdana" w:hAnsi="Verdana" w:cs="Arial"/>
          <w:sz w:val="20"/>
          <w:szCs w:val="20"/>
          <w:lang w:val="es-MX"/>
        </w:rPr>
        <w:br w:type="textWrapping"/>
      </w:r>
      <w:r>
        <w:rPr>
          <w:rStyle w:val="223"/>
          <w:rFonts w:ascii="Verdana" w:hAnsi="Verdana" w:cs="Arial"/>
          <w:sz w:val="20"/>
          <w:szCs w:val="20"/>
          <w:lang w:val="es-MX"/>
        </w:rPr>
        <w:t>DERECHOS POR LA EXPEDICIÓN DE</w:t>
      </w:r>
    </w:p>
    <w:p>
      <w:pPr>
        <w:pStyle w:val="85"/>
        <w:jc w:val="center"/>
        <w:rPr>
          <w:rFonts w:ascii="Verdana" w:hAnsi="Verdana"/>
          <w:sz w:val="20"/>
          <w:szCs w:val="20"/>
          <w:lang w:val="es-MX"/>
        </w:rPr>
      </w:pPr>
      <w:r>
        <w:rPr>
          <w:rStyle w:val="223"/>
          <w:rFonts w:ascii="Verdana" w:hAnsi="Verdana" w:cs="Arial"/>
          <w:sz w:val="20"/>
          <w:szCs w:val="20"/>
          <w:lang w:val="es-MX"/>
        </w:rPr>
        <w:t>CERTIFICACIONES, CONSTANCIAS Y CARTAS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46</w:t>
      </w:r>
      <w:r>
        <w:rPr>
          <w:rFonts w:ascii="Verdana" w:hAnsi="Verdana"/>
          <w:sz w:val="20"/>
          <w:szCs w:val="20"/>
          <w:lang w:val="es-MX"/>
        </w:rPr>
        <w:t xml:space="preserve">. Los derechos por la expedición de certificaciones, constancias y cartas se causarán al 50% de la tarifa prevista en el artículo 30 de esta Ley, cuando sean para la obtención de becas o para acceder a programas oficiales asistenciales.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sz w:val="20"/>
          <w:szCs w:val="20"/>
          <w:lang w:val="es-MX"/>
        </w:rPr>
      </w:pPr>
      <w:r>
        <w:rPr>
          <w:rStyle w:val="223"/>
          <w:rFonts w:ascii="Verdana" w:hAnsi="Verdana" w:cs="Arial"/>
          <w:sz w:val="20"/>
          <w:szCs w:val="20"/>
          <w:lang w:val="es-MX"/>
        </w:rPr>
        <w:t>SECCIÓN SÉPTIMA</w:t>
      </w:r>
      <w:r>
        <w:rPr>
          <w:rStyle w:val="223"/>
          <w:rFonts w:ascii="Verdana" w:hAnsi="Verdana" w:cs="Arial"/>
          <w:sz w:val="20"/>
          <w:szCs w:val="20"/>
          <w:lang w:val="es-MX"/>
        </w:rPr>
        <w:br w:type="textWrapping"/>
      </w:r>
      <w:r>
        <w:rPr>
          <w:rStyle w:val="223"/>
          <w:rFonts w:ascii="Verdana" w:hAnsi="Verdana" w:cs="Arial"/>
          <w:sz w:val="20"/>
          <w:szCs w:val="20"/>
          <w:lang w:val="es-MX"/>
        </w:rPr>
        <w:t>DERECHOS POR EL SERVICIO DE ALUMBRADO PÚBLICO</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w:t>
      </w:r>
      <w:r>
        <w:rPr>
          <w:rStyle w:val="223"/>
          <w:rFonts w:ascii="Verdana" w:hAnsi="Verdana"/>
          <w:sz w:val="20"/>
          <w:szCs w:val="20"/>
          <w:lang w:val="es-MX"/>
        </w:rPr>
        <w:t xml:space="preserve"> 47</w:t>
      </w:r>
      <w:r>
        <w:rPr>
          <w:rFonts w:ascii="Verdana" w:hAnsi="Verdana"/>
          <w:sz w:val="20"/>
          <w:szCs w:val="20"/>
          <w:lang w:val="es-MX"/>
        </w:rPr>
        <w:t>. Los contribuyentes que no tributen por vía de la Comisión Federal de Electricidad, dispondrán de los siguientes beneficios fiscales, atendiendo al monto de la cuota mínima anual del impuesto predial:</w:t>
      </w:r>
    </w:p>
    <w:p>
      <w:pPr>
        <w:pStyle w:val="85"/>
        <w:ind w:firstLine="708"/>
        <w:jc w:val="both"/>
        <w:rPr>
          <w:rFonts w:ascii="Verdana" w:hAnsi="Verdana"/>
          <w:sz w:val="20"/>
          <w:szCs w:val="20"/>
          <w:lang w:val="es-MX"/>
        </w:rPr>
      </w:pPr>
    </w:p>
    <w:tbl>
      <w:tblPr>
        <w:tblStyle w:val="12"/>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120" w:type="dxa"/>
          <w:left w:w="120" w:type="dxa"/>
          <w:bottom w:w="120" w:type="dxa"/>
          <w:right w:w="120" w:type="dxa"/>
        </w:tblCellMar>
      </w:tblPr>
      <w:tblGrid>
        <w:gridCol w:w="2101"/>
        <w:gridCol w:w="2257"/>
        <w:gridCol w:w="2301"/>
        <w:gridCol w:w="272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Impuesto predial cuota mínima anual</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Impuesto predial cuota máxima anualizada</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Derecho de alumbrado público predios urbanos</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val="es-MX" w:bidi="ar"/>
              </w:rPr>
            </w:pPr>
            <w:r>
              <w:rPr>
                <w:rFonts w:ascii="Verdana" w:hAnsi="Verdana"/>
                <w:sz w:val="20"/>
                <w:szCs w:val="20"/>
                <w:lang w:val="es-MX" w:bidi="ar"/>
              </w:rPr>
              <w:t>Derecho de alumbrado público predios rústicos cuota fija anual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$0.01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$337.21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$6.75</w:t>
            </w:r>
          </w:p>
        </w:tc>
      </w:tr>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$337.22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$535.61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$535.62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$803.42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$26.81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$13.40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$803.43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$1,071.23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$1,071.24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$1,339.03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$1,339.04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$1,606.84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$58.94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$1,606.85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$1,874.64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$69.66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$34.83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$1,874.65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$2,142.45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$2,142.46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$2,410.26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$91.08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$45.54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$2,410.27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$2,678.06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$101.79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$2,678.07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$2,945.87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$112.50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$56.25</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$2,945.88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$3,213.68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$123.22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$3,213.69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$3,481.48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$133.93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$66.96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$3,481.49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$3,749.29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$144.64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$72.32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$3,749.30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$4,017.09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$155.35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$77.68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$4,017.10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$4,552.71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$176.78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$88.39</w:t>
            </w:r>
          </w:p>
        </w:tc>
      </w:tr>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$4,552.72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$4,820.51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$93.74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$4,820.52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$5,088.32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$99.10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$5,088.33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$5,356.13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$208.91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$104.45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$5,356.14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$5,623.93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$219.63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$109.81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$5,623.94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$5,891.74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$230.34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$115.16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$5,891.75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$6,159.54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$241.05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$120.53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$6,159.55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$6,427.35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$251.76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$125.88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$6,427.36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$6,695.16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$262.48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$131.24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$6,695.17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$6,962.96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$273.19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$136.59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$6,962.97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$7,230.77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$283.90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$141.95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$7,230.78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$7,498.58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$294.61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$147.30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$7,498.59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$7,766.38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$305.33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$152.66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$7,766.39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$8,034.19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$316.04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$158.01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$8,034.20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$8,301.99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$326.75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$163.37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$8,302.00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$8,569.80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$337.46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$168.73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$8,569.81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$8,837.61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$348.17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$174.09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$8,837.62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$9,105.41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$358.89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$179.44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$9,105.42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$9,373.22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$369.60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$184.80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$9,373.23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$9,641.03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$380.31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$190.15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$9,641.04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$9,908.83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$391.02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$195.51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$9,908.84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$10,176.64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$401.74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$200.86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$10,176.65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$10,444.44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$412.45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$206.22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$10,444.45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$10,712.25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$423.16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$211.57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$10,712.26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$11,247.86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$439.22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$219.62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$11,247.87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$11,783.48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$460.65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$230.33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$11,783.49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$12,319.09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$241.04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$12,319.10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$12,854.70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$503.50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$251.75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$12,854.71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$13,390.31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$524.92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$262.47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$13,390.32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$13,925.93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$546.35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$273.18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$13,925.94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$14,461.54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$567.77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$283.89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$14,461.55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$14,997.15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$589.19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$294.60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$14,997.16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$15,532.76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$610.62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$305.31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$15,532.77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$16,068.38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$632.04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$316.03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$16,068.39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$16,603.99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$653.47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$326.74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$16,604.00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$17,139.60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$674.89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$337.45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$17,139.61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$17,675.21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$696.32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$348.16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$17,675.22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$18,210.83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$717.74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$358.88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$18,210.84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$18,746.44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$739.17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$369.59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$18,746.45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$19,282.05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$760.59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$380.30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$19,282.06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$19,817.66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$782.01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$391.01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$19,817.67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$20,353.28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$803.44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$401.72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$20,353.29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$20,888.89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$824.86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$412.44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$20,888.90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$21,424.50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$846.29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$423.15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$21,424.51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$22,495.73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$878.43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$439.21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$22,495.74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$23,566.95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$921.27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$460.64</w:t>
            </w:r>
          </w:p>
        </w:tc>
      </w:tr>
      <w:tr>
        <w:tblPrEx>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$23,566.96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$24,638.18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$964.12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$482.06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$24,638.19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$25,709.40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$1,006.97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$503.49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$25,709.41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$26,780.63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$1,049.82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$524.91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$26,780.64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$27,851.85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$1,092.67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$546.34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$27,851.86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$28,923.08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$1,135.52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$567.76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$28,923.09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$29,994.30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$1,178.37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$589.18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$29,994.31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$31,065.53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$1,221.22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$610.61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$31,065.54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$32,136.75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$1,264.07</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$632.03</w:t>
            </w:r>
          </w:p>
        </w:tc>
      </w:tr>
      <w:tr>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$32,136.76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$33,207.98</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$1,306.92</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$653.46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$33,207.99</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$34,279.20</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$1,349.76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$674.88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$34,279.21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$35,350.43</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$1,392.61</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$696.31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$35,350.44</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$36,421.65</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$1,435.46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$717.73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20" w:type="dxa"/>
            <w:left w:w="120" w:type="dxa"/>
            <w:bottom w:w="120" w:type="dxa"/>
            <w:right w:w="12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$36,421.66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En adelante</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$1,479.26</w:t>
            </w:r>
          </w:p>
        </w:tc>
        <w:tc>
          <w:tcPr>
            <w:tcW w:w="0" w:type="auto"/>
            <w:tcBorders>
              <w:top w:val="single" w:color="000000" w:sz="6" w:space="0"/>
              <w:left w:val="nil"/>
              <w:bottom w:val="single" w:color="000000" w:sz="6" w:space="0"/>
              <w:right w:val="single" w:color="000000" w:sz="6" w:space="0"/>
            </w:tcBorders>
            <w:vAlign w:val="center"/>
          </w:tcPr>
          <w:p>
            <w:pPr>
              <w:pStyle w:val="85"/>
              <w:jc w:val="both"/>
              <w:rPr>
                <w:rFonts w:ascii="Verdana" w:hAnsi="Verdana"/>
                <w:sz w:val="20"/>
                <w:szCs w:val="20"/>
                <w:lang w:bidi="ar"/>
              </w:rPr>
            </w:pPr>
            <w:r>
              <w:rPr>
                <w:rFonts w:ascii="Verdana" w:hAnsi="Verdana"/>
                <w:sz w:val="20"/>
                <w:szCs w:val="20"/>
                <w:lang w:bidi="ar"/>
              </w:rPr>
              <w:t>$739.64</w:t>
            </w:r>
          </w:p>
        </w:tc>
      </w:tr>
    </w:tbl>
    <w:p>
      <w:pPr>
        <w:pStyle w:val="85"/>
        <w:jc w:val="both"/>
        <w:rPr>
          <w:rFonts w:ascii="Verdana" w:hAnsi="Verdana"/>
          <w:sz w:val="20"/>
          <w:szCs w:val="20"/>
        </w:rPr>
      </w:pPr>
      <w:r>
        <w:rPr>
          <w:rFonts w:ascii="Verdana" w:hAnsi="Verdana"/>
          <w:sz w:val="20"/>
          <w:szCs w:val="20"/>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48</w:t>
      </w:r>
      <w:r>
        <w:rPr>
          <w:rFonts w:ascii="Verdana" w:hAnsi="Verdana"/>
          <w:sz w:val="20"/>
          <w:szCs w:val="20"/>
          <w:lang w:val="es-MX"/>
        </w:rPr>
        <w:t>. Para los contribuyentes cuya recaudación sea por conducto de la Comisión Federal de Electricidad se otorga un beneficio fiscal que representa el importe de calcular el 12% sobre su consumo de energía eléctrica, siempre y cuando el resultado de la operación no rebase la cantidad determinada en la tarifa correspondiente, para tal caso, se aplicará esta última.</w:t>
      </w:r>
    </w:p>
    <w:p>
      <w:pPr>
        <w:pStyle w:val="85"/>
        <w:jc w:val="both"/>
        <w:rPr>
          <w:rFonts w:ascii="Verdana" w:hAnsi="Verdana"/>
          <w:sz w:val="20"/>
          <w:szCs w:val="20"/>
          <w:lang w:val="es-MX"/>
        </w:rPr>
      </w:pPr>
    </w:p>
    <w:p>
      <w:pPr>
        <w:pStyle w:val="85"/>
        <w:jc w:val="both"/>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OCTAVA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OBRA PÚBLICA Y DESARROLLO URBANO</w:t>
      </w:r>
    </w:p>
    <w:p>
      <w:pPr>
        <w:pStyle w:val="85"/>
        <w:jc w:val="both"/>
        <w:rPr>
          <w:rStyle w:val="223"/>
          <w:rFonts w:ascii="Verdana" w:hAnsi="Verdana" w:cs="Arial"/>
          <w:sz w:val="20"/>
          <w:szCs w:val="20"/>
          <w:lang w:val="es-MX"/>
        </w:rPr>
      </w:pPr>
    </w:p>
    <w:p>
      <w:pPr>
        <w:pStyle w:val="85"/>
        <w:ind w:firstLine="708"/>
        <w:jc w:val="both"/>
        <w:rPr>
          <w:rStyle w:val="223"/>
          <w:rFonts w:ascii="Verdana" w:hAnsi="Verdana" w:cs="Arial"/>
          <w:sz w:val="20"/>
          <w:szCs w:val="20"/>
          <w:lang w:val="es-MX"/>
        </w:rPr>
      </w:pPr>
      <w:r>
        <w:rPr>
          <w:rStyle w:val="223"/>
          <w:rFonts w:ascii="Verdana" w:hAnsi="Verdana" w:cs="Arial"/>
          <w:sz w:val="20"/>
          <w:szCs w:val="20"/>
          <w:lang w:val="es-MX"/>
        </w:rPr>
        <w:t>Artículo 49</w:t>
      </w:r>
      <w:r>
        <w:rPr>
          <w:rFonts w:ascii="Verdana" w:hAnsi="Verdana"/>
          <w:sz w:val="20"/>
          <w:szCs w:val="20"/>
          <w:lang w:val="es-MX"/>
        </w:rPr>
        <w:t>. Tratándose de comunidades rurales, los derechos correspondientes a los permisos de uso de suelo, alineamiento y número oficial, previstos en la fracción VI del artículo 25 de esta Ley, se cobrarán a una cuota de $116.98, por permiso.</w:t>
      </w: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NOVENA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LIMPIA, RECOLECCIÓN, TRASLADO, TRATAMIENTO Y DISPOSICIÓN FINAL DE RESIDUOS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50</w:t>
      </w:r>
      <w:r>
        <w:rPr>
          <w:rFonts w:ascii="Verdana" w:hAnsi="Verdana"/>
          <w:sz w:val="20"/>
          <w:szCs w:val="20"/>
          <w:lang w:val="es-MX"/>
        </w:rPr>
        <w:t xml:space="preserve">. Para las personas que paguen de forma anual los derechos por servicio de limpia y recolección, previstos en la fracción I del artículo 15 de esta Ley, se les hará un descuento de dos meses; y para quienes realicen su pago por seis meses, se les otorgará un descuento de un mes. </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51</w:t>
      </w:r>
      <w:r>
        <w:rPr>
          <w:rFonts w:ascii="Verdana" w:hAnsi="Verdana"/>
          <w:sz w:val="20"/>
          <w:szCs w:val="20"/>
          <w:lang w:val="es-MX"/>
        </w:rPr>
        <w:t xml:space="preserve">. Tratándose de los derechos por la prestación de los servicios de limpia, recolección, traslado, tratamiento y disposición final de residuos a las estancias infantiles se les cobrará un 25% de las cuotas establecidas en las fracciones I y II del artículo 15 de la presente Ley.  </w:t>
      </w:r>
    </w:p>
    <w:p>
      <w:pPr>
        <w:pStyle w:val="85"/>
        <w:jc w:val="both"/>
        <w:rPr>
          <w:rStyle w:val="223"/>
          <w:rFonts w:ascii="Verdana" w:hAnsi="Verdana" w:cs="Arial"/>
          <w:sz w:val="20"/>
          <w:szCs w:val="20"/>
          <w:lang w:val="es-MX"/>
        </w:rPr>
      </w:pPr>
    </w:p>
    <w:p>
      <w:pPr>
        <w:pStyle w:val="85"/>
        <w:jc w:val="both"/>
        <w:rPr>
          <w:rStyle w:val="223"/>
          <w:rFonts w:ascii="Verdana" w:hAnsi="Verdana" w:cs="Arial"/>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DÉCIMA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PROTECCIÓN CIVIL</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52</w:t>
      </w:r>
      <w:r>
        <w:rPr>
          <w:rFonts w:ascii="Verdana" w:hAnsi="Verdana"/>
          <w:sz w:val="20"/>
          <w:szCs w:val="20"/>
          <w:lang w:val="es-MX"/>
        </w:rPr>
        <w:t>. Tratándose de los derechos por la prestación de los servicios de protección civil a las estancias infantiles se les cobrará un 25% de las cuotas establecidas en las fracciones de la II a la XVIII del artículo 24 de la presente Ley.</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both"/>
        <w:rPr>
          <w:rFonts w:ascii="Verdana" w:hAnsi="Verdana"/>
          <w:sz w:val="20"/>
          <w:szCs w:val="20"/>
          <w:lang w:val="es-MX"/>
        </w:rPr>
      </w:pPr>
    </w:p>
    <w:p>
      <w:pPr>
        <w:pStyle w:val="85"/>
        <w:jc w:val="center"/>
        <w:rPr>
          <w:rFonts w:ascii="Verdana" w:hAnsi="Verdana"/>
          <w:sz w:val="20"/>
          <w:szCs w:val="20"/>
          <w:lang w:val="es-MX"/>
        </w:rPr>
      </w:pPr>
      <w:r>
        <w:rPr>
          <w:rStyle w:val="223"/>
          <w:rFonts w:ascii="Verdana" w:hAnsi="Verdana" w:cs="Arial"/>
          <w:sz w:val="20"/>
          <w:szCs w:val="20"/>
          <w:lang w:val="es-MX"/>
        </w:rPr>
        <w:t>SECCIÓN UNDÉCIMA</w:t>
      </w:r>
      <w:r>
        <w:rPr>
          <w:rStyle w:val="223"/>
          <w:rFonts w:ascii="Verdana" w:hAnsi="Verdana" w:cs="Arial"/>
          <w:sz w:val="20"/>
          <w:szCs w:val="20"/>
          <w:lang w:val="es-MX"/>
        </w:rPr>
        <w:br w:type="textWrapping"/>
      </w:r>
      <w:r>
        <w:rPr>
          <w:rStyle w:val="223"/>
          <w:rFonts w:ascii="Verdana" w:hAnsi="Verdana" w:cs="Arial"/>
          <w:sz w:val="20"/>
          <w:szCs w:val="20"/>
          <w:lang w:val="es-MX"/>
        </w:rPr>
        <w:t>DERECHOS POR SERVICIOS DE PANTEONES</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53</w:t>
      </w:r>
      <w:r>
        <w:rPr>
          <w:rFonts w:ascii="Verdana" w:hAnsi="Verdana"/>
          <w:sz w:val="20"/>
          <w:szCs w:val="20"/>
          <w:lang w:val="es-MX"/>
        </w:rPr>
        <w:t xml:space="preserve">. A las personas de bajos recursos económicos se les hará un descuento del 50% en el cobro de los derechos por la prestación del servicio público de panteones, previo estudio socioeconómico que se realizará para tal efecto. </w:t>
      </w:r>
    </w:p>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b/>
          <w:bCs/>
          <w:sz w:val="20"/>
          <w:szCs w:val="20"/>
          <w:lang w:val="es-MX"/>
        </w:rPr>
      </w:pPr>
      <w:r>
        <w:rPr>
          <w:rFonts w:ascii="Verdana" w:hAnsi="Verdana"/>
          <w:b/>
          <w:bCs/>
          <w:sz w:val="20"/>
          <w:szCs w:val="20"/>
          <w:lang w:val="es-MX"/>
        </w:rPr>
        <w:t>CAPÍTULO UNDÉCIMO</w:t>
      </w:r>
      <w:r>
        <w:rPr>
          <w:rFonts w:ascii="Verdana" w:hAnsi="Verdana"/>
          <w:b/>
          <w:bCs/>
          <w:sz w:val="20"/>
          <w:szCs w:val="20"/>
          <w:lang w:val="es-MX"/>
        </w:rPr>
        <w:br w:type="textWrapping"/>
      </w:r>
      <w:r>
        <w:rPr>
          <w:rFonts w:ascii="Verdana" w:hAnsi="Verdana"/>
          <w:b/>
          <w:bCs/>
          <w:sz w:val="20"/>
          <w:szCs w:val="20"/>
          <w:lang w:val="es-MX"/>
        </w:rPr>
        <w:t>MEDIOS DE DEFENSA APLICABLES EN IMPUESTO PREDIAL</w:t>
      </w:r>
    </w:p>
    <w:p>
      <w:pPr>
        <w:pStyle w:val="85"/>
        <w:jc w:val="center"/>
        <w:rPr>
          <w:rFonts w:ascii="Verdana" w:hAnsi="Verdana"/>
          <w:b/>
          <w:bCs/>
          <w:sz w:val="20"/>
          <w:szCs w:val="20"/>
          <w:lang w:val="es-MX"/>
        </w:rPr>
      </w:pPr>
    </w:p>
    <w:p>
      <w:pPr>
        <w:pStyle w:val="85"/>
        <w:jc w:val="center"/>
        <w:rPr>
          <w:rFonts w:ascii="Verdana" w:hAnsi="Verdana"/>
          <w:b/>
          <w:bCs/>
          <w:sz w:val="20"/>
          <w:szCs w:val="20"/>
          <w:lang w:val="es-MX"/>
        </w:rPr>
      </w:pPr>
      <w:r>
        <w:rPr>
          <w:rStyle w:val="223"/>
          <w:rFonts w:ascii="Verdana" w:hAnsi="Verdana" w:cs="Arial"/>
          <w:bCs/>
          <w:sz w:val="20"/>
          <w:szCs w:val="20"/>
          <w:lang w:val="es-MX"/>
        </w:rPr>
        <w:t>SECCIÓN ÚNICA</w:t>
      </w:r>
      <w:r>
        <w:rPr>
          <w:rStyle w:val="223"/>
          <w:rFonts w:ascii="Verdana" w:hAnsi="Verdana" w:cs="Arial"/>
          <w:bCs/>
          <w:sz w:val="20"/>
          <w:szCs w:val="20"/>
          <w:lang w:val="es-MX"/>
        </w:rPr>
        <w:br w:type="textWrapping"/>
      </w:r>
      <w:r>
        <w:rPr>
          <w:rStyle w:val="223"/>
          <w:rFonts w:ascii="Verdana" w:hAnsi="Verdana" w:cs="Arial"/>
          <w:bCs/>
          <w:sz w:val="20"/>
          <w:szCs w:val="20"/>
          <w:lang w:val="es-MX"/>
        </w:rPr>
        <w:t>RECURSO DE REVISIÓN</w:t>
      </w:r>
    </w:p>
    <w:p>
      <w:pPr>
        <w:pStyle w:val="85"/>
        <w:jc w:val="both"/>
        <w:rPr>
          <w:rFonts w:ascii="Verdana" w:hAnsi="Verdana"/>
          <w:sz w:val="20"/>
          <w:szCs w:val="20"/>
          <w:lang w:val="es-MX"/>
        </w:rPr>
      </w:pPr>
      <w:r>
        <w:rPr>
          <w:rFonts w:ascii="Verdana" w:hAnsi="Verdana"/>
          <w:sz w:val="20"/>
          <w:szCs w:val="20"/>
          <w:lang w:val="es-MX"/>
        </w:rPr>
        <w:t xml:space="preserve"> </w:t>
      </w:r>
    </w:p>
    <w:p>
      <w:pPr>
        <w:pStyle w:val="85"/>
        <w:ind w:firstLine="708"/>
        <w:jc w:val="both"/>
        <w:rPr>
          <w:rFonts w:ascii="Verdana" w:hAnsi="Verdana"/>
          <w:sz w:val="20"/>
          <w:szCs w:val="20"/>
          <w:lang w:val="es-MX"/>
        </w:rPr>
      </w:pPr>
      <w:r>
        <w:rPr>
          <w:rStyle w:val="223"/>
          <w:rFonts w:ascii="Verdana" w:hAnsi="Verdana" w:cs="Arial"/>
          <w:sz w:val="20"/>
          <w:szCs w:val="20"/>
          <w:lang w:val="es-MX"/>
        </w:rPr>
        <w:t>Artículo 54</w:t>
      </w:r>
      <w:r>
        <w:rPr>
          <w:rFonts w:ascii="Verdana" w:hAnsi="Verdana"/>
          <w:sz w:val="20"/>
          <w:szCs w:val="20"/>
          <w:lang w:val="es-MX"/>
        </w:rPr>
        <w:t>. Los propietarios o poseedores de bienes inmuebles sin edificar, podrán acudir a la Tesorería Municipal a presentar recurso de revisión, a fin de que les sea aplicable la tasa general de los inmuebles urbanos y suburbanos con edificaciones, cuando consideren que sus predios no representen un problema de salud pública, ambiental o de seguridad pública y no se especule comercialmente con su valor por el solo hecho de su ubicación y los beneficios que recibe de las obras públicas realizadas por el Municipio.</w:t>
      </w:r>
    </w:p>
    <w:p>
      <w:pPr>
        <w:pStyle w:val="85"/>
        <w:jc w:val="both"/>
        <w:rPr>
          <w:rFonts w:ascii="Verdana" w:hAnsi="Verdana"/>
          <w:sz w:val="20"/>
          <w:szCs w:val="20"/>
          <w:lang w:val="es-MX"/>
        </w:rPr>
      </w:pPr>
    </w:p>
    <w:p>
      <w:pPr>
        <w:pStyle w:val="85"/>
        <w:ind w:firstLine="708"/>
        <w:jc w:val="both"/>
        <w:rPr>
          <w:rFonts w:ascii="Verdana" w:hAnsi="Verdana"/>
          <w:sz w:val="20"/>
          <w:szCs w:val="20"/>
          <w:lang w:val="es-MX"/>
        </w:rPr>
      </w:pPr>
      <w:r>
        <w:rPr>
          <w:rFonts w:ascii="Verdana" w:hAnsi="Verdana"/>
          <w:sz w:val="20"/>
          <w:szCs w:val="20"/>
          <w:lang w:val="es-MX"/>
        </w:rPr>
        <w:t>El recurso de revisión deberá substanciarse y resolverse en lo conducente, conforme a lo dispuesto para el recurso de revocación establecido en la Ley de Hacienda para los Municipios del Estado de Guanajuato.</w:t>
      </w:r>
    </w:p>
    <w:p>
      <w:pPr>
        <w:pStyle w:val="85"/>
        <w:jc w:val="both"/>
        <w:rPr>
          <w:rFonts w:ascii="Verdana" w:hAnsi="Verdana"/>
          <w:sz w:val="20"/>
          <w:szCs w:val="20"/>
          <w:lang w:val="es-MX"/>
        </w:rPr>
      </w:pPr>
      <w:r>
        <w:rPr>
          <w:rFonts w:ascii="Verdana" w:hAnsi="Verdana"/>
          <w:sz w:val="20"/>
          <w:szCs w:val="20"/>
          <w:lang w:val="es-MX"/>
        </w:rPr>
        <w:t xml:space="preserve"> </w:t>
      </w:r>
      <w:r>
        <w:rPr>
          <w:rFonts w:ascii="Verdana" w:hAnsi="Verdana"/>
          <w:sz w:val="20"/>
          <w:szCs w:val="20"/>
          <w:lang w:val="es-MX"/>
        </w:rPr>
        <w:tab/>
      </w:r>
    </w:p>
    <w:p>
      <w:pPr>
        <w:pStyle w:val="85"/>
        <w:ind w:firstLine="708"/>
        <w:jc w:val="both"/>
        <w:rPr>
          <w:rFonts w:ascii="Verdana" w:hAnsi="Verdana"/>
          <w:sz w:val="20"/>
          <w:szCs w:val="20"/>
          <w:lang w:val="es-MX"/>
        </w:rPr>
      </w:pPr>
      <w:r>
        <w:rPr>
          <w:rFonts w:ascii="Verdana" w:hAnsi="Verdana"/>
          <w:sz w:val="20"/>
          <w:szCs w:val="20"/>
          <w:lang w:val="es-MX"/>
        </w:rPr>
        <w:t xml:space="preserve">Si la autoridad municipal deja sin efectos la aplicación de la tasa diferencial para inmuebles sin edificar recurrida por el contribuyente, se aplicará la tasa general. </w:t>
      </w:r>
    </w:p>
    <w:p>
      <w:pPr>
        <w:pStyle w:val="85"/>
        <w:jc w:val="both"/>
        <w:rPr>
          <w:rFonts w:ascii="Verdana" w:hAnsi="Verdana"/>
          <w:sz w:val="20"/>
          <w:szCs w:val="20"/>
          <w:lang w:val="es-MX"/>
        </w:rPr>
      </w:pPr>
    </w:p>
    <w:p>
      <w:pPr>
        <w:pStyle w:val="85"/>
        <w:jc w:val="center"/>
        <w:rPr>
          <w:rFonts w:ascii="Verdana" w:hAnsi="Verdana"/>
          <w:b/>
          <w:bCs/>
          <w:sz w:val="20"/>
          <w:szCs w:val="20"/>
          <w:lang w:val="es-MX"/>
        </w:rPr>
      </w:pPr>
    </w:p>
    <w:p>
      <w:pPr>
        <w:pStyle w:val="85"/>
        <w:jc w:val="center"/>
        <w:rPr>
          <w:rFonts w:ascii="Verdana" w:hAnsi="Verdana"/>
          <w:b/>
          <w:bCs/>
          <w:sz w:val="20"/>
          <w:szCs w:val="20"/>
        </w:rPr>
      </w:pPr>
      <w:r>
        <w:rPr>
          <w:rFonts w:ascii="Verdana" w:hAnsi="Verdana"/>
          <w:b/>
          <w:bCs/>
          <w:sz w:val="20"/>
          <w:szCs w:val="20"/>
        </w:rPr>
        <w:t>CAPÍTULO DUODÉCIMO</w:t>
      </w:r>
      <w:r>
        <w:rPr>
          <w:rFonts w:ascii="Verdana" w:hAnsi="Verdana"/>
          <w:b/>
          <w:bCs/>
          <w:sz w:val="20"/>
          <w:szCs w:val="20"/>
        </w:rPr>
        <w:br w:type="textWrapping"/>
      </w:r>
      <w:r>
        <w:rPr>
          <w:rFonts w:ascii="Verdana" w:hAnsi="Verdana"/>
          <w:b/>
          <w:bCs/>
          <w:sz w:val="20"/>
          <w:szCs w:val="20"/>
        </w:rPr>
        <w:t>AJUSTES</w:t>
      </w:r>
    </w:p>
    <w:p>
      <w:pPr>
        <w:pStyle w:val="85"/>
        <w:jc w:val="center"/>
        <w:rPr>
          <w:rStyle w:val="223"/>
          <w:rFonts w:ascii="Verdana" w:hAnsi="Verdana" w:cs="Arial"/>
          <w:bCs/>
          <w:sz w:val="20"/>
          <w:szCs w:val="20"/>
        </w:rPr>
      </w:pPr>
    </w:p>
    <w:p>
      <w:pPr>
        <w:pStyle w:val="85"/>
        <w:jc w:val="center"/>
        <w:rPr>
          <w:rFonts w:ascii="Verdana" w:hAnsi="Verdana"/>
          <w:b/>
          <w:bCs/>
          <w:sz w:val="20"/>
          <w:szCs w:val="20"/>
        </w:rPr>
      </w:pPr>
      <w:r>
        <w:rPr>
          <w:rStyle w:val="223"/>
          <w:rFonts w:ascii="Verdana" w:hAnsi="Verdana" w:cs="Arial"/>
          <w:bCs/>
          <w:sz w:val="20"/>
          <w:szCs w:val="20"/>
        </w:rPr>
        <w:t>SECCIÓN ÚNICA</w:t>
      </w:r>
      <w:r>
        <w:rPr>
          <w:rStyle w:val="223"/>
          <w:rFonts w:ascii="Verdana" w:hAnsi="Verdana" w:cs="Arial"/>
          <w:bCs/>
          <w:sz w:val="20"/>
          <w:szCs w:val="20"/>
        </w:rPr>
        <w:br w:type="textWrapping"/>
      </w:r>
      <w:r>
        <w:rPr>
          <w:rStyle w:val="223"/>
          <w:rFonts w:ascii="Verdana" w:hAnsi="Verdana" w:cs="Arial"/>
          <w:bCs/>
          <w:sz w:val="20"/>
          <w:szCs w:val="20"/>
        </w:rPr>
        <w:t>AJUSTES TARIFARIOS</w:t>
      </w:r>
    </w:p>
    <w:p>
      <w:pPr>
        <w:pStyle w:val="85"/>
        <w:jc w:val="both"/>
        <w:rPr>
          <w:rStyle w:val="223"/>
          <w:rFonts w:ascii="Verdana" w:hAnsi="Verdana" w:cs="Arial"/>
          <w:sz w:val="20"/>
          <w:szCs w:val="20"/>
          <w:lang w:val="es-MX"/>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55</w:t>
      </w:r>
      <w:r>
        <w:rPr>
          <w:rFonts w:ascii="Verdana" w:hAnsi="Verdana"/>
          <w:sz w:val="20"/>
          <w:szCs w:val="20"/>
          <w:lang w:val="es-MX"/>
        </w:rPr>
        <w:t>. Las cantidades que resulten de la aplicación de las tasas, tarifas y cuotas que establece la presente Ley, se ajustarán de conformidad con la siguiente:</w:t>
      </w:r>
    </w:p>
    <w:p>
      <w:pPr>
        <w:pStyle w:val="85"/>
        <w:jc w:val="both"/>
        <w:rPr>
          <w:rFonts w:ascii="Verdana" w:hAnsi="Verdana"/>
          <w:sz w:val="20"/>
          <w:szCs w:val="20"/>
        </w:rPr>
      </w:pPr>
    </w:p>
    <w:p>
      <w:pPr>
        <w:pStyle w:val="85"/>
        <w:jc w:val="center"/>
        <w:rPr>
          <w:rFonts w:ascii="Verdana" w:hAnsi="Verdana"/>
          <w:sz w:val="20"/>
          <w:szCs w:val="20"/>
        </w:rPr>
      </w:pPr>
      <w:r>
        <w:rPr>
          <w:rFonts w:ascii="Verdana" w:hAnsi="Verdana"/>
          <w:sz w:val="20"/>
          <w:szCs w:val="20"/>
        </w:rPr>
        <w:t>T A B L A</w:t>
      </w:r>
    </w:p>
    <w:p>
      <w:pPr>
        <w:pStyle w:val="85"/>
        <w:jc w:val="both"/>
        <w:rPr>
          <w:rFonts w:ascii="Verdana" w:hAnsi="Verdana"/>
          <w:sz w:val="20"/>
          <w:szCs w:val="20"/>
        </w:rPr>
      </w:pPr>
    </w:p>
    <w:tbl>
      <w:tblPr>
        <w:tblStyle w:val="12"/>
        <w:tblW w:w="5000" w:type="pct"/>
        <w:tblInd w:w="116" w:type="dxa"/>
        <w:tblLayout w:type="autofit"/>
        <w:tblCellMar>
          <w:top w:w="0" w:type="dxa"/>
          <w:left w:w="120" w:type="dxa"/>
          <w:bottom w:w="120" w:type="dxa"/>
          <w:right w:w="120" w:type="dxa"/>
        </w:tblCellMar>
      </w:tblPr>
      <w:tblGrid>
        <w:gridCol w:w="4568"/>
        <w:gridCol w:w="4820"/>
      </w:tblGrid>
      <w:tr>
        <w:trPr>
          <w:trHeight w:val="315" w:hRule="atLeast"/>
        </w:trPr>
        <w:tc>
          <w:tcPr>
            <w:tcW w:w="2433" w:type="pct"/>
            <w:tcBorders>
              <w:top w:val="single" w:color="000000" w:sz="6" w:space="0"/>
              <w:left w:val="single" w:color="000000" w:sz="6" w:space="0"/>
              <w:bottom w:val="single" w:color="000000" w:sz="6" w:space="0"/>
              <w:right w:val="single" w:color="000000" w:sz="6" w:space="0"/>
            </w:tcBorders>
            <w:tcMar>
              <w:left w:w="0" w:type="dxa"/>
              <w:bottom w:w="0" w:type="dxa"/>
              <w:right w:w="0" w:type="dxa"/>
            </w:tcMar>
            <w:vAlign w:val="bottom"/>
          </w:tcPr>
          <w:p>
            <w:pPr>
              <w:pStyle w:val="85"/>
              <w:jc w:val="both"/>
              <w:rPr>
                <w:rFonts w:ascii="Verdana" w:hAnsi="Verdana"/>
                <w:sz w:val="20"/>
                <w:szCs w:val="20"/>
                <w:lang w:bidi="ar"/>
              </w:rPr>
            </w:pPr>
            <w:r>
              <w:rPr>
                <w:rFonts w:ascii="Verdana" w:hAnsi="Verdana"/>
                <w:sz w:val="20"/>
                <w:szCs w:val="20"/>
                <w:lang w:bidi="ar"/>
              </w:rPr>
              <w:t>Cantidades</w:t>
            </w:r>
          </w:p>
        </w:tc>
        <w:tc>
          <w:tcPr>
            <w:tcW w:w="2567" w:type="pct"/>
            <w:tcBorders>
              <w:top w:val="single" w:color="000000" w:sz="6" w:space="0"/>
              <w:left w:val="nil"/>
              <w:bottom w:val="single" w:color="000000" w:sz="6" w:space="0"/>
              <w:right w:val="single" w:color="000000" w:sz="6" w:space="0"/>
            </w:tcBorders>
            <w:tcMar>
              <w:left w:w="0" w:type="dxa"/>
              <w:bottom w:w="0" w:type="dxa"/>
              <w:right w:w="0" w:type="dxa"/>
            </w:tcMar>
          </w:tcPr>
          <w:p>
            <w:pPr>
              <w:pStyle w:val="85"/>
              <w:jc w:val="both"/>
              <w:rPr>
                <w:rFonts w:ascii="Verdana" w:hAnsi="Verdana"/>
                <w:sz w:val="20"/>
                <w:szCs w:val="20"/>
                <w:lang w:bidi="ar"/>
              </w:rPr>
            </w:pPr>
            <w:r>
              <w:rPr>
                <w:rFonts w:ascii="Verdana" w:hAnsi="Verdana"/>
                <w:sz w:val="20"/>
                <w:szCs w:val="20"/>
                <w:lang w:bidi="ar"/>
              </w:rPr>
              <w:t>Unidad de ajustes</w:t>
            </w:r>
          </w:p>
        </w:tc>
      </w:tr>
      <w:tr>
        <w:tblPrEx>
          <w:tblCellMar>
            <w:top w:w="0" w:type="dxa"/>
            <w:left w:w="120" w:type="dxa"/>
            <w:bottom w:w="120" w:type="dxa"/>
            <w:right w:w="120" w:type="dxa"/>
          </w:tblCellMar>
        </w:tblPrEx>
        <w:trPr>
          <w:trHeight w:val="315" w:hRule="atLeast"/>
        </w:trPr>
        <w:tc>
          <w:tcPr>
            <w:tcW w:w="2433" w:type="pct"/>
            <w:tcBorders>
              <w:top w:val="single" w:color="000000" w:sz="6" w:space="0"/>
              <w:left w:val="single" w:color="000000" w:sz="6" w:space="0"/>
              <w:bottom w:val="single" w:color="000000" w:sz="6" w:space="0"/>
              <w:right w:val="single" w:color="000000" w:sz="6" w:space="0"/>
            </w:tcBorders>
            <w:tcMar>
              <w:left w:w="0" w:type="dxa"/>
              <w:bottom w:w="0" w:type="dxa"/>
              <w:right w:w="0" w:type="dxa"/>
            </w:tcMar>
            <w:vAlign w:val="bottom"/>
          </w:tcPr>
          <w:p>
            <w:pPr>
              <w:pStyle w:val="85"/>
              <w:jc w:val="both"/>
              <w:rPr>
                <w:rFonts w:ascii="Verdana" w:hAnsi="Verdana"/>
                <w:sz w:val="20"/>
                <w:szCs w:val="20"/>
                <w:lang w:bidi="ar"/>
              </w:rPr>
            </w:pPr>
            <w:r>
              <w:rPr>
                <w:rFonts w:ascii="Verdana" w:hAnsi="Verdana"/>
                <w:sz w:val="20"/>
                <w:szCs w:val="20"/>
                <w:lang w:bidi="ar"/>
              </w:rPr>
              <w:t>Desde $0.01 y hasta $0.50</w:t>
            </w:r>
          </w:p>
        </w:tc>
        <w:tc>
          <w:tcPr>
            <w:tcW w:w="2567" w:type="pct"/>
            <w:tcBorders>
              <w:top w:val="single" w:color="000000" w:sz="6" w:space="0"/>
              <w:left w:val="nil"/>
              <w:bottom w:val="single" w:color="000000" w:sz="6" w:space="0"/>
              <w:right w:val="single" w:color="000000" w:sz="6" w:space="0"/>
            </w:tcBorders>
            <w:tcMar>
              <w:left w:w="0" w:type="dxa"/>
              <w:bottom w:w="0" w:type="dxa"/>
              <w:right w:w="0" w:type="dxa"/>
            </w:tcMar>
          </w:tcPr>
          <w:p>
            <w:pPr>
              <w:pStyle w:val="85"/>
              <w:jc w:val="both"/>
              <w:rPr>
                <w:rFonts w:ascii="Verdana" w:hAnsi="Verdana"/>
                <w:sz w:val="20"/>
                <w:szCs w:val="20"/>
                <w:lang w:val="es-MX" w:bidi="ar"/>
              </w:rPr>
            </w:pPr>
            <w:r>
              <w:rPr>
                <w:rFonts w:ascii="Verdana" w:hAnsi="Verdana"/>
                <w:sz w:val="20"/>
                <w:szCs w:val="20"/>
                <w:lang w:val="es-MX" w:bidi="ar"/>
              </w:rPr>
              <w:t>A la unidad de peso inmediato inferior</w:t>
            </w:r>
          </w:p>
        </w:tc>
      </w:tr>
      <w:tr>
        <w:trPr>
          <w:trHeight w:val="315" w:hRule="atLeast"/>
        </w:trPr>
        <w:tc>
          <w:tcPr>
            <w:tcW w:w="2433" w:type="pct"/>
            <w:tcBorders>
              <w:top w:val="single" w:color="000000" w:sz="6" w:space="0"/>
              <w:left w:val="single" w:color="000000" w:sz="6" w:space="0"/>
              <w:bottom w:val="single" w:color="000000" w:sz="6" w:space="0"/>
              <w:right w:val="single" w:color="000000" w:sz="6" w:space="0"/>
            </w:tcBorders>
            <w:tcMar>
              <w:left w:w="0" w:type="dxa"/>
              <w:bottom w:w="0" w:type="dxa"/>
              <w:right w:w="0" w:type="dxa"/>
            </w:tcMar>
            <w:vAlign w:val="bottom"/>
          </w:tcPr>
          <w:p>
            <w:pPr>
              <w:pStyle w:val="85"/>
              <w:jc w:val="both"/>
              <w:rPr>
                <w:rFonts w:ascii="Verdana" w:hAnsi="Verdana"/>
                <w:sz w:val="20"/>
                <w:szCs w:val="20"/>
                <w:lang w:bidi="ar"/>
              </w:rPr>
            </w:pPr>
            <w:r>
              <w:rPr>
                <w:rFonts w:ascii="Verdana" w:hAnsi="Verdana"/>
                <w:sz w:val="20"/>
                <w:szCs w:val="20"/>
                <w:lang w:bidi="ar"/>
              </w:rPr>
              <w:t>Desde $0.51 y hasta $0.99</w:t>
            </w:r>
          </w:p>
        </w:tc>
        <w:tc>
          <w:tcPr>
            <w:tcW w:w="2567" w:type="pct"/>
            <w:tcBorders>
              <w:top w:val="single" w:color="000000" w:sz="6" w:space="0"/>
              <w:left w:val="nil"/>
              <w:bottom w:val="single" w:color="000000" w:sz="6" w:space="0"/>
              <w:right w:val="single" w:color="000000" w:sz="6" w:space="0"/>
            </w:tcBorders>
            <w:tcMar>
              <w:left w:w="0" w:type="dxa"/>
              <w:bottom w:w="0" w:type="dxa"/>
              <w:right w:w="0" w:type="dxa"/>
            </w:tcMar>
          </w:tcPr>
          <w:p>
            <w:pPr>
              <w:pStyle w:val="85"/>
              <w:jc w:val="both"/>
              <w:rPr>
                <w:rFonts w:ascii="Verdana" w:hAnsi="Verdana"/>
                <w:sz w:val="20"/>
                <w:szCs w:val="20"/>
                <w:lang w:val="es-MX" w:bidi="ar"/>
              </w:rPr>
            </w:pPr>
            <w:r>
              <w:rPr>
                <w:rFonts w:ascii="Verdana" w:hAnsi="Verdana"/>
                <w:sz w:val="20"/>
                <w:szCs w:val="20"/>
                <w:lang w:val="es-MX" w:bidi="ar"/>
              </w:rPr>
              <w:t>A la unidad de peso inmediato superior</w:t>
            </w:r>
          </w:p>
        </w:tc>
      </w:tr>
    </w:tbl>
    <w:p>
      <w:pPr>
        <w:pStyle w:val="85"/>
        <w:jc w:val="both"/>
        <w:rPr>
          <w:rFonts w:ascii="Verdana" w:hAnsi="Verdana"/>
          <w:sz w:val="20"/>
          <w:szCs w:val="20"/>
          <w:lang w:val="es-MX"/>
        </w:rPr>
      </w:pPr>
      <w:r>
        <w:rPr>
          <w:rFonts w:ascii="Verdana" w:hAnsi="Verdana"/>
          <w:sz w:val="20"/>
          <w:szCs w:val="20"/>
          <w:lang w:val="es-MX"/>
        </w:rPr>
        <w:t xml:space="preserve"> </w:t>
      </w:r>
    </w:p>
    <w:p>
      <w:pPr>
        <w:pStyle w:val="85"/>
        <w:jc w:val="center"/>
        <w:rPr>
          <w:rFonts w:ascii="Verdana" w:hAnsi="Verdana"/>
          <w:b/>
          <w:bCs/>
          <w:sz w:val="20"/>
          <w:szCs w:val="20"/>
        </w:rPr>
      </w:pPr>
      <w:r>
        <w:rPr>
          <w:rFonts w:ascii="Verdana" w:hAnsi="Verdana"/>
          <w:b/>
          <w:bCs/>
          <w:sz w:val="20"/>
          <w:szCs w:val="20"/>
        </w:rPr>
        <w:t>T R A N S I T O R I O</w:t>
      </w:r>
    </w:p>
    <w:p>
      <w:pPr>
        <w:pStyle w:val="85"/>
        <w:jc w:val="both"/>
        <w:rPr>
          <w:rFonts w:ascii="Verdana" w:hAnsi="Verdana"/>
          <w:sz w:val="20"/>
          <w:szCs w:val="20"/>
        </w:rPr>
      </w:pPr>
    </w:p>
    <w:p>
      <w:pPr>
        <w:pStyle w:val="85"/>
        <w:ind w:firstLine="708"/>
        <w:jc w:val="both"/>
        <w:rPr>
          <w:rFonts w:ascii="Verdana" w:hAnsi="Verdana"/>
          <w:sz w:val="20"/>
          <w:szCs w:val="20"/>
          <w:lang w:val="es-MX"/>
        </w:rPr>
      </w:pPr>
      <w:r>
        <w:rPr>
          <w:rStyle w:val="223"/>
          <w:rFonts w:ascii="Verdana" w:hAnsi="Verdana" w:cs="Arial"/>
          <w:sz w:val="20"/>
          <w:szCs w:val="20"/>
          <w:lang w:val="es-MX"/>
        </w:rPr>
        <w:t>Artículo Único</w:t>
      </w:r>
      <w:r>
        <w:rPr>
          <w:rFonts w:ascii="Verdana" w:hAnsi="Verdana"/>
          <w:sz w:val="20"/>
          <w:szCs w:val="20"/>
          <w:lang w:val="es-MX"/>
        </w:rPr>
        <w:t xml:space="preserve">. La presente Ley entrará en vigor el 1 de enero de 2021, una vez publicada en el Periódico Oficial del Gobierno del Estado de Guanajuato. </w:t>
      </w:r>
    </w:p>
    <w:p>
      <w:pPr>
        <w:pStyle w:val="85"/>
        <w:jc w:val="both"/>
        <w:rPr>
          <w:rFonts w:ascii="Verdana" w:hAnsi="Verdana"/>
          <w:sz w:val="20"/>
          <w:szCs w:val="20"/>
          <w:lang w:val="es-MX"/>
        </w:rPr>
      </w:pPr>
    </w:p>
    <w:p>
      <w:pPr>
        <w:pStyle w:val="85"/>
        <w:jc w:val="both"/>
        <w:rPr>
          <w:rFonts w:ascii="Verdana" w:hAnsi="Verdana"/>
          <w:sz w:val="20"/>
          <w:szCs w:val="20"/>
          <w:lang w:val="es-MX"/>
        </w:rPr>
      </w:pPr>
    </w:p>
    <w:p>
      <w:pPr>
        <w:pStyle w:val="85"/>
        <w:jc w:val="both"/>
        <w:rPr>
          <w:rFonts w:ascii="Verdana" w:hAnsi="Verdana"/>
          <w:sz w:val="20"/>
          <w:szCs w:val="20"/>
        </w:rPr>
      </w:pPr>
    </w:p>
    <w:sectPr>
      <w:headerReference r:id="rId7" w:type="first"/>
      <w:headerReference r:id="rId5" w:type="default"/>
      <w:footerReference r:id="rId8" w:type="default"/>
      <w:headerReference r:id="rId6" w:type="even"/>
      <w:pgSz w:w="12240" w:h="15840"/>
      <w:pgMar w:top="1843" w:right="1418" w:bottom="1418"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LT Std">
    <w:altName w:val="Segoe Print"/>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Trebuchet MS">
    <w:panose1 w:val="020B0603020202020204"/>
    <w:charset w:val="00"/>
    <w:family w:val="swiss"/>
    <w:pitch w:val="default"/>
    <w:sig w:usb0="00000687" w:usb1="00000000" w:usb2="00000000" w:usb3="00000000" w:csb0="2000009F" w:csb1="00000000"/>
  </w:font>
  <w:font w:name="Eras Medium ITC">
    <w:panose1 w:val="020B0602030504020804"/>
    <w:charset w:val="00"/>
    <w:family w:val="swiss"/>
    <w:pitch w:val="default"/>
    <w:sig w:usb0="00000003" w:usb1="00000000" w:usb2="00000000" w:usb3="00000000" w:csb0="200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8"/>
        <w:szCs w:val="18"/>
      </w:rPr>
      <w:id w:val="616039763"/>
      <w:docPartObj>
        <w:docPartGallery w:val="AutoText"/>
      </w:docPartObj>
    </w:sdtPr>
    <w:sdtEndPr>
      <w:rPr>
        <w:rFonts w:ascii="Verdana" w:hAnsi="Verdana"/>
        <w:sz w:val="18"/>
        <w:szCs w:val="18"/>
      </w:rPr>
    </w:sdtEndPr>
    <w:sdtContent>
      <w:sdt>
        <w:sdtPr>
          <w:rPr>
            <w:rFonts w:ascii="Verdana" w:hAnsi="Verdana"/>
            <w:sz w:val="18"/>
            <w:szCs w:val="18"/>
          </w:rPr>
          <w:id w:val="1728636285"/>
          <w:docPartObj>
            <w:docPartGallery w:val="AutoText"/>
          </w:docPartObj>
        </w:sdtPr>
        <w:sdtEndPr>
          <w:rPr>
            <w:rFonts w:ascii="Verdana" w:hAnsi="Verdana"/>
            <w:sz w:val="18"/>
            <w:szCs w:val="18"/>
          </w:rPr>
        </w:sdtEndPr>
        <w:sdtContent>
          <w:p>
            <w:pPr>
              <w:pStyle w:val="25"/>
              <w:jc w:val="center"/>
              <w:rPr>
                <w:rFonts w:ascii="Verdana" w:hAnsi="Verdana"/>
                <w:sz w:val="18"/>
                <w:szCs w:val="18"/>
              </w:rPr>
            </w:pPr>
            <w:r>
              <w:rPr>
                <w:rFonts w:ascii="Verdana" w:hAnsi="Verdana"/>
                <w:sz w:val="18"/>
                <w:szCs w:val="18"/>
              </w:rPr>
              <w:t xml:space="preserve">Página </w:t>
            </w:r>
            <w:r>
              <w:rPr>
                <w:rFonts w:ascii="Verdana" w:hAnsi="Verdana"/>
                <w:b/>
                <w:bCs/>
                <w:sz w:val="18"/>
                <w:szCs w:val="18"/>
              </w:rPr>
              <w:fldChar w:fldCharType="begin"/>
            </w:r>
            <w:r>
              <w:rPr>
                <w:rFonts w:ascii="Verdana" w:hAnsi="Verdana"/>
                <w:b/>
                <w:bCs/>
                <w:sz w:val="18"/>
                <w:szCs w:val="18"/>
              </w:rPr>
              <w:instrText xml:space="preserve">PAGE</w:instrText>
            </w:r>
            <w:r>
              <w:rPr>
                <w:rFonts w:ascii="Verdana" w:hAnsi="Verdana"/>
                <w:b/>
                <w:bCs/>
                <w:sz w:val="18"/>
                <w:szCs w:val="18"/>
              </w:rPr>
              <w:fldChar w:fldCharType="separate"/>
            </w:r>
            <w:r>
              <w:rPr>
                <w:rFonts w:ascii="Verdana" w:hAnsi="Verdana"/>
                <w:b/>
                <w:bCs/>
                <w:sz w:val="18"/>
                <w:szCs w:val="18"/>
              </w:rPr>
              <w:t>20</w:t>
            </w:r>
            <w:r>
              <w:rPr>
                <w:rFonts w:ascii="Verdana" w:hAnsi="Verdana"/>
                <w:b/>
                <w:bCs/>
                <w:sz w:val="18"/>
                <w:szCs w:val="18"/>
              </w:rPr>
              <w:fldChar w:fldCharType="end"/>
            </w:r>
            <w:r>
              <w:rPr>
                <w:rFonts w:ascii="Verdana" w:hAnsi="Verdana"/>
                <w:sz w:val="18"/>
                <w:szCs w:val="18"/>
              </w:rPr>
              <w:t xml:space="preserve"> de </w:t>
            </w:r>
            <w:r>
              <w:rPr>
                <w:rFonts w:ascii="Verdana" w:hAnsi="Verdana"/>
                <w:b/>
                <w:bCs/>
                <w:sz w:val="18"/>
                <w:szCs w:val="18"/>
              </w:rPr>
              <w:fldChar w:fldCharType="begin"/>
            </w:r>
            <w:r>
              <w:rPr>
                <w:rFonts w:ascii="Verdana" w:hAnsi="Verdana"/>
                <w:b/>
                <w:bCs/>
                <w:sz w:val="18"/>
                <w:szCs w:val="18"/>
              </w:rPr>
              <w:instrText xml:space="preserve">NUMPAGES</w:instrText>
            </w:r>
            <w:r>
              <w:rPr>
                <w:rFonts w:ascii="Verdana" w:hAnsi="Verdana"/>
                <w:b/>
                <w:bCs/>
                <w:sz w:val="18"/>
                <w:szCs w:val="18"/>
              </w:rPr>
              <w:fldChar w:fldCharType="separate"/>
            </w:r>
            <w:r>
              <w:rPr>
                <w:rFonts w:ascii="Verdana" w:hAnsi="Verdana"/>
                <w:b/>
                <w:bCs/>
                <w:sz w:val="18"/>
                <w:szCs w:val="18"/>
              </w:rPr>
              <w:t>120</w:t>
            </w:r>
            <w:r>
              <w:rPr>
                <w:rFonts w:ascii="Verdana" w:hAnsi="Verdana"/>
                <w:b/>
                <w:bCs/>
                <w:sz w:val="18"/>
                <w:szCs w:val="18"/>
              </w:rPr>
              <w:fldChar w:fldCharType="end"/>
            </w:r>
          </w:p>
        </w:sdtContent>
      </w:sdt>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8613" w:type="dxa"/>
      <w:jc w:val="center"/>
      <w:tblLayout w:type="fixed"/>
      <w:tblCellMar>
        <w:top w:w="0" w:type="dxa"/>
        <w:left w:w="108" w:type="dxa"/>
        <w:bottom w:w="0" w:type="dxa"/>
        <w:right w:w="108" w:type="dxa"/>
      </w:tblCellMar>
    </w:tblPr>
    <w:tblGrid>
      <w:gridCol w:w="1384"/>
      <w:gridCol w:w="3490"/>
      <w:gridCol w:w="3739"/>
    </w:tblGrid>
    <w:tr>
      <w:tblPrEx>
        <w:tblCellMar>
          <w:top w:w="0" w:type="dxa"/>
          <w:left w:w="108" w:type="dxa"/>
          <w:bottom w:w="0" w:type="dxa"/>
          <w:right w:w="108" w:type="dxa"/>
        </w:tblCellMar>
      </w:tblPrEx>
      <w:trPr>
        <w:trHeight w:val="326" w:hRule="atLeast"/>
        <w:jc w:val="center"/>
      </w:trPr>
      <w:tc>
        <w:tcPr>
          <w:tcW w:w="1384" w:type="dxa"/>
          <w:vMerge w:val="restart"/>
        </w:tcPr>
        <w:p>
          <w:pPr>
            <w:jc w:val="right"/>
            <w:rPr>
              <w:rFonts w:ascii="Tahoma" w:hAnsi="Tahoma" w:cs="Tahoma"/>
              <w:sz w:val="16"/>
              <w:szCs w:val="16"/>
            </w:rPr>
          </w:pPr>
          <w:r>
            <w:rPr>
              <w:lang w:val="es-MX"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6" name="Imagen 6"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0590" cy="767080"/>
                        </a:xfrm>
                        <a:prstGeom prst="rect">
                          <a:avLst/>
                        </a:prstGeom>
                        <a:noFill/>
                        <a:ln>
                          <a:noFill/>
                        </a:ln>
                      </pic:spPr>
                    </pic:pic>
                  </a:graphicData>
                </a:graphic>
              </wp:anchor>
            </w:drawing>
          </w:r>
        </w:p>
      </w:tc>
      <w:tc>
        <w:tcPr>
          <w:tcW w:w="7229" w:type="dxa"/>
          <w:gridSpan w:val="2"/>
          <w:shd w:val="clear" w:color="auto" w:fill="auto"/>
          <w:vAlign w:val="bottom"/>
        </w:tcPr>
        <w:p>
          <w:pPr>
            <w:pStyle w:val="52"/>
            <w:jc w:val="right"/>
            <w:rPr>
              <w:rFonts w:ascii="Verdana" w:hAnsi="Verdana"/>
              <w:b/>
              <w:bCs/>
              <w:color w:val="auto"/>
              <w:sz w:val="15"/>
              <w:szCs w:val="15"/>
            </w:rPr>
          </w:pPr>
          <w:r>
            <w:rPr>
              <w:rFonts w:ascii="Verdana" w:hAnsi="Verdana"/>
              <w:b/>
              <w:bCs/>
              <w:color w:val="auto"/>
              <w:sz w:val="15"/>
              <w:szCs w:val="15"/>
            </w:rPr>
            <w:t>Ley de Ingresos para el Municipio de Moroleón, Guanajuato, para el Ejercicio Fiscal del año 2021</w:t>
          </w:r>
        </w:p>
      </w:tc>
    </w:tr>
    <w:tr>
      <w:tblPrEx>
        <w:tblCellMar>
          <w:top w:w="0" w:type="dxa"/>
          <w:left w:w="108" w:type="dxa"/>
          <w:bottom w:w="0" w:type="dxa"/>
          <w:right w:w="108" w:type="dxa"/>
        </w:tblCellMar>
      </w:tblPrEx>
      <w:trPr>
        <w:trHeight w:val="190" w:hRule="atLeast"/>
        <w:jc w:val="center"/>
      </w:trPr>
      <w:tc>
        <w:tcPr>
          <w:tcW w:w="1384" w:type="dxa"/>
          <w:vMerge w:val="continue"/>
        </w:tcPr>
        <w:p>
          <w:pPr>
            <w:pStyle w:val="28"/>
            <w:rPr>
              <w:rFonts w:ascii="Arial Narrow" w:hAnsi="Arial Narrow" w:eastAsia="Arial Unicode MS" w:cs="Arial Unicode MS"/>
              <w:sz w:val="13"/>
              <w:szCs w:val="13"/>
            </w:rPr>
          </w:pPr>
        </w:p>
      </w:tc>
      <w:tc>
        <w:tcPr>
          <w:tcW w:w="3490" w:type="dxa"/>
          <w:shd w:val="clear" w:color="auto" w:fill="auto"/>
          <w:vAlign w:val="bottom"/>
        </w:tcPr>
        <w:p>
          <w:pPr>
            <w:pStyle w:val="28"/>
            <w:ind w:left="241" w:right="-457"/>
            <w:rPr>
              <w:rFonts w:ascii="Arial Narrow" w:hAnsi="Arial Narrow" w:eastAsia="Arial Unicode MS" w:cs="Arial Unicode MS"/>
              <w:b/>
              <w:sz w:val="13"/>
              <w:szCs w:val="13"/>
            </w:rPr>
          </w:pPr>
          <w:r>
            <w:rPr>
              <w:rFonts w:ascii="Arial Narrow" w:hAnsi="Arial Narrow" w:eastAsia="Arial Unicode MS" w:cs="Arial Unicode MS"/>
              <w:b/>
              <w:sz w:val="13"/>
              <w:szCs w:val="13"/>
            </w:rPr>
            <w:t>H. CONGRESO DEL ESTADO DE GUANAJUATO</w:t>
          </w:r>
        </w:p>
      </w:tc>
      <w:tc>
        <w:tcPr>
          <w:tcW w:w="3739" w:type="dxa"/>
          <w:shd w:val="clear" w:color="auto" w:fill="auto"/>
          <w:vAlign w:val="bottom"/>
        </w:tcPr>
        <w:p>
          <w:pPr>
            <w:pStyle w:val="28"/>
            <w:jc w:val="right"/>
            <w:rPr>
              <w:rFonts w:ascii="Arial Narrow" w:hAnsi="Arial Narrow" w:eastAsia="Arial Unicode MS" w:cs="Arial Unicode MS"/>
              <w:i/>
              <w:sz w:val="13"/>
              <w:szCs w:val="13"/>
            </w:rPr>
          </w:pPr>
          <w:r>
            <w:rPr>
              <w:rFonts w:ascii="Arial Narrow" w:hAnsi="Arial Narrow" w:eastAsia="Arial Unicode MS" w:cs="Arial Unicode MS"/>
              <w:i/>
              <w:sz w:val="13"/>
              <w:szCs w:val="13"/>
            </w:rPr>
            <w:t xml:space="preserve">Expidió: LXIV Legislatura  </w:t>
          </w:r>
        </w:p>
      </w:tc>
    </w:tr>
    <w:tr>
      <w:tblPrEx>
        <w:tblCellMar>
          <w:top w:w="0" w:type="dxa"/>
          <w:left w:w="108" w:type="dxa"/>
          <w:bottom w:w="0" w:type="dxa"/>
          <w:right w:w="108" w:type="dxa"/>
        </w:tblCellMar>
      </w:tblPrEx>
      <w:trPr>
        <w:jc w:val="center"/>
      </w:trPr>
      <w:tc>
        <w:tcPr>
          <w:tcW w:w="1384" w:type="dxa"/>
          <w:vMerge w:val="continue"/>
        </w:tcPr>
        <w:p>
          <w:pPr>
            <w:pStyle w:val="28"/>
            <w:rPr>
              <w:rFonts w:ascii="Arial Narrow" w:hAnsi="Arial Narrow" w:eastAsia="Arial Unicode MS" w:cs="Arial Unicode MS"/>
              <w:sz w:val="13"/>
              <w:szCs w:val="13"/>
            </w:rPr>
          </w:pPr>
        </w:p>
      </w:tc>
      <w:tc>
        <w:tcPr>
          <w:tcW w:w="3490" w:type="dxa"/>
          <w:shd w:val="clear" w:color="auto" w:fill="auto"/>
        </w:tcPr>
        <w:p>
          <w:pPr>
            <w:pStyle w:val="28"/>
            <w:ind w:left="241"/>
            <w:rPr>
              <w:rFonts w:ascii="Arial Narrow" w:hAnsi="Arial Narrow" w:eastAsia="Arial Unicode MS" w:cs="Arial Unicode MS"/>
              <w:b/>
              <w:sz w:val="13"/>
              <w:szCs w:val="13"/>
            </w:rPr>
          </w:pPr>
          <w:r>
            <w:rPr>
              <w:rFonts w:ascii="Arial Narrow" w:hAnsi="Arial Narrow" w:eastAsia="Arial Unicode MS" w:cs="Arial Unicode MS"/>
              <w:b/>
              <w:sz w:val="13"/>
              <w:szCs w:val="13"/>
            </w:rPr>
            <w:t xml:space="preserve">Secretaría General </w:t>
          </w:r>
        </w:p>
      </w:tc>
      <w:tc>
        <w:tcPr>
          <w:tcW w:w="3739" w:type="dxa"/>
          <w:shd w:val="clear" w:color="auto" w:fill="auto"/>
        </w:tcPr>
        <w:p>
          <w:pPr>
            <w:pStyle w:val="28"/>
            <w:tabs>
              <w:tab w:val="left" w:pos="1061"/>
              <w:tab w:val="right" w:pos="3650"/>
            </w:tabs>
            <w:jc w:val="right"/>
            <w:rPr>
              <w:rFonts w:ascii="Arial Narrow" w:hAnsi="Arial Narrow" w:eastAsia="Arial Unicode MS" w:cs="Arial Unicode MS"/>
              <w:i/>
              <w:sz w:val="13"/>
              <w:szCs w:val="13"/>
            </w:rPr>
          </w:pPr>
          <w:r>
            <w:rPr>
              <w:rFonts w:ascii="Arial Narrow" w:hAnsi="Arial Narrow" w:eastAsia="Arial Unicode MS" w:cs="Arial Unicode MS"/>
              <w:i/>
              <w:sz w:val="13"/>
              <w:szCs w:val="13"/>
            </w:rPr>
            <w:t>Publicada: P.O. Núm. 261, Décima Primera Parte, 30-</w:t>
          </w:r>
          <w:r>
            <w:rPr>
              <w:rFonts w:ascii="Arial Narrow" w:hAnsi="Arial Narrow" w:eastAsia="Arial Unicode MS" w:cs="Arial Unicode MS"/>
              <w:i/>
              <w:sz w:val="13"/>
              <w:szCs w:val="13"/>
              <w:lang w:val="es-MX"/>
            </w:rPr>
            <w:t>12</w:t>
          </w:r>
          <w:r>
            <w:rPr>
              <w:rFonts w:ascii="Arial Narrow" w:hAnsi="Arial Narrow" w:eastAsia="Arial Unicode MS" w:cs="Arial Unicode MS"/>
              <w:i/>
              <w:sz w:val="13"/>
              <w:szCs w:val="13"/>
            </w:rPr>
            <w:t>-2020</w:t>
          </w:r>
        </w:p>
      </w:tc>
    </w:tr>
    <w:tr>
      <w:tblPrEx>
        <w:tblCellMar>
          <w:top w:w="0" w:type="dxa"/>
          <w:left w:w="108" w:type="dxa"/>
          <w:bottom w:w="0" w:type="dxa"/>
          <w:right w:w="108" w:type="dxa"/>
        </w:tblCellMar>
      </w:tblPrEx>
      <w:trPr>
        <w:jc w:val="center"/>
      </w:trPr>
      <w:tc>
        <w:tcPr>
          <w:tcW w:w="1384" w:type="dxa"/>
          <w:vMerge w:val="continue"/>
        </w:tcPr>
        <w:p>
          <w:pPr>
            <w:pStyle w:val="28"/>
            <w:tabs>
              <w:tab w:val="left" w:pos="4378"/>
            </w:tabs>
            <w:rPr>
              <w:rFonts w:ascii="Arial Narrow" w:hAnsi="Arial Narrow" w:eastAsia="Arial Unicode MS" w:cs="Arial Unicode MS"/>
              <w:sz w:val="13"/>
              <w:szCs w:val="13"/>
            </w:rPr>
          </w:pPr>
        </w:p>
      </w:tc>
      <w:tc>
        <w:tcPr>
          <w:tcW w:w="3490" w:type="dxa"/>
          <w:shd w:val="clear" w:color="auto" w:fill="auto"/>
        </w:tcPr>
        <w:p>
          <w:pPr>
            <w:pStyle w:val="28"/>
            <w:tabs>
              <w:tab w:val="left" w:pos="4378"/>
            </w:tabs>
            <w:ind w:left="241"/>
            <w:rPr>
              <w:rFonts w:ascii="Arial Narrow" w:hAnsi="Arial Narrow" w:eastAsia="Arial Unicode MS" w:cs="Arial Unicode MS"/>
              <w:b/>
              <w:sz w:val="13"/>
              <w:szCs w:val="13"/>
            </w:rPr>
          </w:pPr>
          <w:r>
            <w:rPr>
              <w:rFonts w:ascii="Arial Narrow" w:hAnsi="Arial Narrow" w:eastAsia="Arial Unicode MS" w:cs="Arial Unicode MS"/>
              <w:b/>
              <w:sz w:val="13"/>
              <w:szCs w:val="13"/>
            </w:rPr>
            <w:t xml:space="preserve">Instituto de Investigaciones Legislativas </w:t>
          </w:r>
        </w:p>
      </w:tc>
      <w:tc>
        <w:tcPr>
          <w:tcW w:w="3739" w:type="dxa"/>
          <w:shd w:val="clear" w:color="auto" w:fill="auto"/>
          <w:vAlign w:val="bottom"/>
        </w:tcPr>
        <w:p>
          <w:pPr>
            <w:pStyle w:val="28"/>
            <w:jc w:val="right"/>
            <w:rPr>
              <w:rFonts w:ascii="Arial Narrow" w:hAnsi="Arial Narrow" w:eastAsia="Arial Unicode MS" w:cs="Arial Unicode MS"/>
              <w:i/>
              <w:sz w:val="13"/>
              <w:szCs w:val="13"/>
            </w:rPr>
          </w:pPr>
        </w:p>
      </w:tc>
    </w:tr>
    <w:tr>
      <w:tblPrEx>
        <w:tblCellMar>
          <w:top w:w="0" w:type="dxa"/>
          <w:left w:w="108" w:type="dxa"/>
          <w:bottom w:w="0" w:type="dxa"/>
          <w:right w:w="108" w:type="dxa"/>
        </w:tblCellMar>
      </w:tblPrEx>
      <w:trPr>
        <w:jc w:val="center"/>
      </w:trPr>
      <w:tc>
        <w:tcPr>
          <w:tcW w:w="1384" w:type="dxa"/>
        </w:tcPr>
        <w:p>
          <w:pPr>
            <w:pStyle w:val="28"/>
            <w:tabs>
              <w:tab w:val="left" w:pos="4378"/>
            </w:tabs>
            <w:rPr>
              <w:rFonts w:ascii="Arial Narrow" w:hAnsi="Arial Narrow" w:eastAsia="Arial Unicode MS" w:cs="Arial Unicode MS"/>
              <w:sz w:val="13"/>
              <w:szCs w:val="13"/>
            </w:rPr>
          </w:pPr>
        </w:p>
      </w:tc>
      <w:tc>
        <w:tcPr>
          <w:tcW w:w="3490" w:type="dxa"/>
          <w:shd w:val="clear" w:color="auto" w:fill="auto"/>
        </w:tcPr>
        <w:p>
          <w:pPr>
            <w:pStyle w:val="28"/>
            <w:tabs>
              <w:tab w:val="left" w:pos="4378"/>
            </w:tabs>
            <w:ind w:left="241"/>
            <w:rPr>
              <w:rFonts w:ascii="Arial Narrow" w:hAnsi="Arial Narrow" w:eastAsia="Arial Unicode MS" w:cs="Arial Unicode MS"/>
              <w:b/>
              <w:sz w:val="13"/>
              <w:szCs w:val="13"/>
            </w:rPr>
          </w:pPr>
        </w:p>
      </w:tc>
      <w:tc>
        <w:tcPr>
          <w:tcW w:w="3739" w:type="dxa"/>
          <w:shd w:val="clear" w:color="auto" w:fill="auto"/>
          <w:vAlign w:val="bottom"/>
        </w:tcPr>
        <w:p>
          <w:pPr>
            <w:pStyle w:val="28"/>
            <w:jc w:val="right"/>
            <w:rPr>
              <w:rFonts w:ascii="Arial Narrow" w:hAnsi="Arial Narrow" w:eastAsia="Arial Unicode MS" w:cs="Arial Unicode MS"/>
              <w:i/>
              <w:sz w:val="13"/>
              <w:szCs w:val="13"/>
            </w:rPr>
          </w:pPr>
        </w:p>
      </w:tc>
    </w:tr>
  </w:tbl>
  <w:p>
    <w:pPr>
      <w:pStyle w:val="28"/>
    </w:pPr>
    <w:r>
      <w:rPr>
        <w:lang w:eastAsia="es-MX"/>
      </w:rPr>
      <w:pict>
        <v:shape id="WordPictureWatermark10469783" o:spid="_x0000_s2058" o:spt="75" type="#_x0000_t75" style="position:absolute;left:0pt;height:367.4pt;width:470.1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2" gain="19661f" blacklevel="22938f" o:title="Imagen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lang w:eastAsia="es-MX"/>
      </w:rPr>
      <w:pict>
        <v:shape id="WordPictureWatermark10469782" o:spid="_x0000_s2057" o:spt="75" type="#_x0000_t75" style="position:absolute;left:0pt;height:367.4pt;width:470.1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Imagen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lang w:eastAsia="es-MX"/>
      </w:rPr>
      <w:pict>
        <v:shape id="WordPictureWatermark10469781" o:spid="_x0000_s2056" o:spt="75" type="#_x0000_t75" style="position:absolute;left:0pt;height:367.4pt;width:470.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Imagen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ttachedTemplate r:id="rId1"/>
  <w:documentProtection w:enforcement="0"/>
  <w:defaultTabStop w:val="708"/>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C5"/>
    <w:rsid w:val="00077A9E"/>
    <w:rsid w:val="000A26CB"/>
    <w:rsid w:val="000B284F"/>
    <w:rsid w:val="000F294F"/>
    <w:rsid w:val="00123FBC"/>
    <w:rsid w:val="00273CFA"/>
    <w:rsid w:val="00290D27"/>
    <w:rsid w:val="003E2D46"/>
    <w:rsid w:val="00434660"/>
    <w:rsid w:val="004650A3"/>
    <w:rsid w:val="00494539"/>
    <w:rsid w:val="004C6104"/>
    <w:rsid w:val="005036B1"/>
    <w:rsid w:val="00536DB8"/>
    <w:rsid w:val="005E119D"/>
    <w:rsid w:val="006455C6"/>
    <w:rsid w:val="00677FA2"/>
    <w:rsid w:val="00703A01"/>
    <w:rsid w:val="007A7FC5"/>
    <w:rsid w:val="007C0BBC"/>
    <w:rsid w:val="00833B09"/>
    <w:rsid w:val="00850B05"/>
    <w:rsid w:val="009724FA"/>
    <w:rsid w:val="00AE60BE"/>
    <w:rsid w:val="00B62EB5"/>
    <w:rsid w:val="00BB5541"/>
    <w:rsid w:val="00C4593F"/>
    <w:rsid w:val="00C734C2"/>
    <w:rsid w:val="00CA39F6"/>
    <w:rsid w:val="00D64D1E"/>
    <w:rsid w:val="00E327BE"/>
    <w:rsid w:val="00EC1035"/>
    <w:rsid w:val="00F27F4F"/>
    <w:rsid w:val="00FC70F5"/>
    <w:rsid w:val="00FD4080"/>
    <w:rsid w:val="3B57377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qFormat="1" w:uiPriority="0" w:semiHidden="0" w:name="annotation text"/>
    <w:lsdException w:uiPriority="99"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0" w:semiHidden="0" w:name="Body Text 3"/>
    <w:lsdException w:uiPriority="0" w:semiHidden="0" w:name="Body Text Indent 2"/>
    <w:lsdException w:uiPriority="0"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s-ES" w:eastAsia="en-US" w:bidi="ar-SA"/>
    </w:rPr>
  </w:style>
  <w:style w:type="paragraph" w:styleId="2">
    <w:name w:val="heading 1"/>
    <w:basedOn w:val="1"/>
    <w:next w:val="1"/>
    <w:link w:val="47"/>
    <w:qFormat/>
    <w:uiPriority w:val="0"/>
    <w:pPr>
      <w:keepNext/>
      <w:widowControl w:val="0"/>
      <w:spacing w:after="0" w:line="360" w:lineRule="auto"/>
      <w:jc w:val="both"/>
      <w:outlineLvl w:val="0"/>
    </w:pPr>
    <w:rPr>
      <w:rFonts w:ascii="Arial" w:hAnsi="Arial" w:eastAsia="Times New Roman" w:cs="Arial"/>
      <w:b/>
      <w:bCs/>
      <w:sz w:val="28"/>
      <w:szCs w:val="24"/>
      <w:lang w:val="es-MX" w:eastAsia="es-ES"/>
    </w:rPr>
  </w:style>
  <w:style w:type="paragraph" w:styleId="3">
    <w:name w:val="heading 2"/>
    <w:basedOn w:val="1"/>
    <w:next w:val="1"/>
    <w:link w:val="48"/>
    <w:unhideWhenUsed/>
    <w:qFormat/>
    <w:uiPriority w:val="0"/>
    <w:pPr>
      <w:keepNext/>
      <w:autoSpaceDE w:val="0"/>
      <w:autoSpaceDN w:val="0"/>
      <w:adjustRightInd w:val="0"/>
      <w:spacing w:after="0" w:line="360" w:lineRule="auto"/>
      <w:outlineLvl w:val="1"/>
    </w:pPr>
    <w:rPr>
      <w:rFonts w:ascii="Arial" w:hAnsi="Arial" w:eastAsia="Times New Roman"/>
      <w:b/>
      <w:sz w:val="24"/>
      <w:szCs w:val="20"/>
      <w:lang w:eastAsia="es-ES"/>
    </w:rPr>
  </w:style>
  <w:style w:type="paragraph" w:styleId="4">
    <w:name w:val="heading 3"/>
    <w:basedOn w:val="1"/>
    <w:next w:val="1"/>
    <w:link w:val="49"/>
    <w:unhideWhenUsed/>
    <w:qFormat/>
    <w:uiPriority w:val="0"/>
    <w:pPr>
      <w:keepNext/>
      <w:spacing w:after="0" w:line="240" w:lineRule="auto"/>
      <w:jc w:val="both"/>
      <w:outlineLvl w:val="2"/>
    </w:pPr>
    <w:rPr>
      <w:rFonts w:ascii="Arial" w:hAnsi="Arial" w:eastAsia="Times New Roman"/>
      <w:b/>
      <w:bCs/>
      <w:sz w:val="26"/>
      <w:szCs w:val="24"/>
      <w:lang w:eastAsia="es-ES"/>
    </w:rPr>
  </w:style>
  <w:style w:type="paragraph" w:styleId="5">
    <w:name w:val="heading 4"/>
    <w:basedOn w:val="1"/>
    <w:next w:val="1"/>
    <w:link w:val="55"/>
    <w:unhideWhenUsed/>
    <w:qFormat/>
    <w:uiPriority w:val="0"/>
    <w:pPr>
      <w:keepNext/>
      <w:spacing w:before="240" w:after="60" w:line="240" w:lineRule="auto"/>
      <w:outlineLvl w:val="3"/>
    </w:pPr>
    <w:rPr>
      <w:rFonts w:ascii="Times New Roman" w:hAnsi="Times New Roman" w:eastAsia="Times New Roman"/>
      <w:b/>
      <w:bCs/>
      <w:sz w:val="28"/>
      <w:szCs w:val="28"/>
      <w:lang w:eastAsia="es-ES"/>
    </w:rPr>
  </w:style>
  <w:style w:type="paragraph" w:styleId="6">
    <w:name w:val="heading 5"/>
    <w:basedOn w:val="1"/>
    <w:next w:val="1"/>
    <w:link w:val="56"/>
    <w:unhideWhenUsed/>
    <w:qFormat/>
    <w:uiPriority w:val="0"/>
    <w:pPr>
      <w:spacing w:before="240" w:after="60" w:line="240" w:lineRule="auto"/>
      <w:outlineLvl w:val="4"/>
    </w:pPr>
    <w:rPr>
      <w:rFonts w:eastAsia="Times New Roman"/>
      <w:b/>
      <w:bCs/>
      <w:i/>
      <w:iCs/>
      <w:sz w:val="26"/>
      <w:szCs w:val="26"/>
    </w:rPr>
  </w:style>
  <w:style w:type="paragraph" w:styleId="7">
    <w:name w:val="heading 6"/>
    <w:basedOn w:val="1"/>
    <w:next w:val="1"/>
    <w:link w:val="57"/>
    <w:unhideWhenUsed/>
    <w:qFormat/>
    <w:uiPriority w:val="0"/>
    <w:pPr>
      <w:keepNext/>
      <w:snapToGrid w:val="0"/>
      <w:spacing w:after="0" w:line="240" w:lineRule="auto"/>
      <w:ind w:hanging="567"/>
      <w:jc w:val="both"/>
      <w:outlineLvl w:val="5"/>
    </w:pPr>
    <w:rPr>
      <w:rFonts w:ascii="Arial" w:hAnsi="Arial" w:eastAsia="Times New Roman"/>
      <w:b/>
      <w:bCs/>
      <w:sz w:val="24"/>
      <w:szCs w:val="20"/>
    </w:rPr>
  </w:style>
  <w:style w:type="paragraph" w:styleId="8">
    <w:name w:val="heading 7"/>
    <w:basedOn w:val="1"/>
    <w:next w:val="1"/>
    <w:link w:val="58"/>
    <w:unhideWhenUsed/>
    <w:qFormat/>
    <w:uiPriority w:val="0"/>
    <w:pPr>
      <w:spacing w:before="240" w:after="60" w:line="240" w:lineRule="auto"/>
      <w:outlineLvl w:val="6"/>
    </w:pPr>
    <w:rPr>
      <w:rFonts w:ascii="Times New Roman" w:hAnsi="Times New Roman" w:eastAsia="Times New Roman"/>
      <w:sz w:val="24"/>
      <w:szCs w:val="24"/>
      <w:lang w:eastAsia="es-ES"/>
    </w:rPr>
  </w:style>
  <w:style w:type="paragraph" w:styleId="9">
    <w:name w:val="heading 8"/>
    <w:basedOn w:val="1"/>
    <w:next w:val="1"/>
    <w:link w:val="59"/>
    <w:unhideWhenUsed/>
    <w:qFormat/>
    <w:uiPriority w:val="0"/>
    <w:pPr>
      <w:spacing w:before="240" w:after="60" w:line="240" w:lineRule="auto"/>
      <w:outlineLvl w:val="7"/>
    </w:pPr>
    <w:rPr>
      <w:rFonts w:ascii="Times New Roman" w:hAnsi="Times New Roman" w:eastAsia="Times New Roman"/>
      <w:i/>
      <w:iCs/>
      <w:sz w:val="24"/>
      <w:szCs w:val="24"/>
      <w:lang w:eastAsia="es-ES"/>
    </w:rPr>
  </w:style>
  <w:style w:type="paragraph" w:styleId="10">
    <w:name w:val="heading 9"/>
    <w:basedOn w:val="1"/>
    <w:next w:val="1"/>
    <w:link w:val="60"/>
    <w:unhideWhenUsed/>
    <w:qFormat/>
    <w:uiPriority w:val="0"/>
    <w:pPr>
      <w:keepNext/>
      <w:snapToGrid w:val="0"/>
      <w:spacing w:after="0" w:line="360" w:lineRule="auto"/>
      <w:jc w:val="center"/>
      <w:outlineLvl w:val="8"/>
    </w:pPr>
    <w:rPr>
      <w:rFonts w:ascii="Arial" w:hAnsi="Arial" w:eastAsia="Times New Roman"/>
      <w:b/>
      <w:color w:val="000000"/>
      <w:szCs w:val="24"/>
      <w:lang w:eastAsia="es-E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6"/>
    <w:unhideWhenUsed/>
    <w:uiPriority w:val="0"/>
    <w:pPr>
      <w:spacing w:after="0" w:line="240" w:lineRule="auto"/>
    </w:pPr>
    <w:rPr>
      <w:rFonts w:ascii="Segoe UI" w:hAnsi="Segoe UI" w:eastAsia="Times New Roman" w:cs="Segoe UI"/>
      <w:sz w:val="18"/>
      <w:szCs w:val="18"/>
      <w:lang w:eastAsia="es-ES"/>
    </w:rPr>
  </w:style>
  <w:style w:type="paragraph" w:styleId="14">
    <w:name w:val="Body Text"/>
    <w:basedOn w:val="1"/>
    <w:link w:val="73"/>
    <w:unhideWhenUsed/>
    <w:uiPriority w:val="0"/>
    <w:pPr>
      <w:spacing w:after="0" w:line="240" w:lineRule="auto"/>
      <w:jc w:val="both"/>
    </w:pPr>
    <w:rPr>
      <w:rFonts w:ascii="Arial" w:hAnsi="Arial" w:eastAsia="Times New Roman"/>
      <w:sz w:val="24"/>
      <w:szCs w:val="24"/>
      <w:lang w:eastAsia="es-ES"/>
    </w:rPr>
  </w:style>
  <w:style w:type="paragraph" w:styleId="15">
    <w:name w:val="Body Text 2"/>
    <w:basedOn w:val="1"/>
    <w:link w:val="54"/>
    <w:uiPriority w:val="0"/>
    <w:pPr>
      <w:spacing w:after="0" w:line="240" w:lineRule="auto"/>
      <w:jc w:val="both"/>
    </w:pPr>
    <w:rPr>
      <w:rFonts w:ascii="Arial" w:hAnsi="Arial" w:eastAsia="Times New Roman" w:cs="Arial"/>
      <w:sz w:val="28"/>
      <w:szCs w:val="24"/>
      <w:lang w:eastAsia="es-ES"/>
    </w:rPr>
  </w:style>
  <w:style w:type="paragraph" w:styleId="16">
    <w:name w:val="Body Text 3"/>
    <w:basedOn w:val="1"/>
    <w:link w:val="76"/>
    <w:unhideWhenUsed/>
    <w:uiPriority w:val="0"/>
    <w:pPr>
      <w:spacing w:after="120" w:line="240" w:lineRule="auto"/>
    </w:pPr>
    <w:rPr>
      <w:rFonts w:ascii="Times New Roman" w:hAnsi="Times New Roman" w:eastAsia="Times New Roman"/>
      <w:sz w:val="16"/>
      <w:szCs w:val="16"/>
    </w:rPr>
  </w:style>
  <w:style w:type="paragraph" w:styleId="17">
    <w:name w:val="Body Text Indent"/>
    <w:basedOn w:val="1"/>
    <w:link w:val="74"/>
    <w:unhideWhenUsed/>
    <w:uiPriority w:val="0"/>
    <w:pPr>
      <w:spacing w:after="120" w:line="240" w:lineRule="auto"/>
      <w:ind w:left="283"/>
    </w:pPr>
    <w:rPr>
      <w:rFonts w:ascii="Times New Roman" w:hAnsi="Times New Roman" w:eastAsia="Times New Roman"/>
      <w:sz w:val="24"/>
      <w:szCs w:val="24"/>
      <w:lang w:eastAsia="es-ES"/>
    </w:rPr>
  </w:style>
  <w:style w:type="paragraph" w:styleId="18">
    <w:name w:val="Body Text Indent 2"/>
    <w:basedOn w:val="1"/>
    <w:link w:val="78"/>
    <w:unhideWhenUsed/>
    <w:uiPriority w:val="0"/>
    <w:pPr>
      <w:tabs>
        <w:tab w:val="left" w:pos="9900"/>
      </w:tabs>
      <w:spacing w:after="0" w:line="240" w:lineRule="auto"/>
      <w:ind w:right="252" w:firstLine="708"/>
      <w:jc w:val="both"/>
    </w:pPr>
    <w:rPr>
      <w:rFonts w:ascii="Arial" w:hAnsi="Arial" w:eastAsia="Times New Roman"/>
      <w:sz w:val="24"/>
      <w:szCs w:val="24"/>
    </w:rPr>
  </w:style>
  <w:style w:type="paragraph" w:styleId="19">
    <w:name w:val="Body Text Indent 3"/>
    <w:basedOn w:val="1"/>
    <w:link w:val="80"/>
    <w:unhideWhenUsed/>
    <w:uiPriority w:val="0"/>
    <w:pPr>
      <w:spacing w:after="0" w:line="240" w:lineRule="auto"/>
      <w:ind w:left="360"/>
      <w:jc w:val="both"/>
    </w:pPr>
    <w:rPr>
      <w:rFonts w:ascii="Arial" w:hAnsi="Arial" w:eastAsia="Times New Roman"/>
      <w:b/>
      <w:sz w:val="32"/>
      <w:szCs w:val="24"/>
      <w:lang w:eastAsia="es-ES"/>
    </w:rPr>
  </w:style>
  <w:style w:type="paragraph" w:styleId="20">
    <w:name w:val="caption"/>
    <w:basedOn w:val="1"/>
    <w:next w:val="1"/>
    <w:qFormat/>
    <w:uiPriority w:val="0"/>
    <w:pPr>
      <w:spacing w:after="0" w:line="240" w:lineRule="auto"/>
      <w:jc w:val="center"/>
    </w:pPr>
    <w:rPr>
      <w:rFonts w:ascii="Arial" w:hAnsi="Arial" w:eastAsia="Times New Roman" w:cs="Arial"/>
      <w:b/>
      <w:bCs/>
      <w:sz w:val="20"/>
      <w:szCs w:val="20"/>
      <w:lang w:eastAsia="es-ES"/>
    </w:rPr>
  </w:style>
  <w:style w:type="character" w:styleId="21">
    <w:name w:val="annotation reference"/>
    <w:uiPriority w:val="99"/>
    <w:rPr>
      <w:sz w:val="16"/>
      <w:szCs w:val="16"/>
    </w:rPr>
  </w:style>
  <w:style w:type="paragraph" w:styleId="22">
    <w:name w:val="annotation text"/>
    <w:basedOn w:val="1"/>
    <w:link w:val="68"/>
    <w:unhideWhenUsed/>
    <w:qFormat/>
    <w:uiPriority w:val="0"/>
    <w:pPr>
      <w:spacing w:after="0" w:line="240" w:lineRule="auto"/>
    </w:pPr>
    <w:rPr>
      <w:rFonts w:ascii="Times New Roman" w:hAnsi="Times New Roman" w:eastAsia="Times New Roman"/>
      <w:sz w:val="20"/>
      <w:szCs w:val="20"/>
      <w:lang w:eastAsia="es-ES"/>
    </w:rPr>
  </w:style>
  <w:style w:type="paragraph" w:styleId="23">
    <w:name w:val="annotation subject"/>
    <w:basedOn w:val="22"/>
    <w:next w:val="22"/>
    <w:link w:val="84"/>
    <w:unhideWhenUsed/>
    <w:uiPriority w:val="0"/>
    <w:rPr>
      <w:b/>
      <w:bCs/>
    </w:rPr>
  </w:style>
  <w:style w:type="character" w:styleId="24">
    <w:name w:val="FollowedHyperlink"/>
    <w:basedOn w:val="11"/>
    <w:uiPriority w:val="99"/>
    <w:rPr>
      <w:color w:val="800080"/>
      <w:u w:val="single"/>
    </w:rPr>
  </w:style>
  <w:style w:type="paragraph" w:styleId="25">
    <w:name w:val="footer"/>
    <w:basedOn w:val="1"/>
    <w:link w:val="51"/>
    <w:unhideWhenUsed/>
    <w:uiPriority w:val="0"/>
    <w:pPr>
      <w:tabs>
        <w:tab w:val="center" w:pos="4680"/>
        <w:tab w:val="right" w:pos="9360"/>
      </w:tabs>
      <w:spacing w:after="0" w:line="240" w:lineRule="auto"/>
    </w:pPr>
  </w:style>
  <w:style w:type="character" w:styleId="26">
    <w:name w:val="footnote reference"/>
    <w:basedOn w:val="11"/>
    <w:uiPriority w:val="0"/>
    <w:rPr>
      <w:vertAlign w:val="superscript"/>
    </w:rPr>
  </w:style>
  <w:style w:type="paragraph" w:styleId="27">
    <w:name w:val="footnote text"/>
    <w:basedOn w:val="1"/>
    <w:link w:val="67"/>
    <w:semiHidden/>
    <w:unhideWhenUsed/>
    <w:uiPriority w:val="0"/>
    <w:pPr>
      <w:spacing w:after="0" w:line="240" w:lineRule="auto"/>
    </w:pPr>
    <w:rPr>
      <w:sz w:val="20"/>
      <w:szCs w:val="20"/>
    </w:rPr>
  </w:style>
  <w:style w:type="paragraph" w:styleId="28">
    <w:name w:val="header"/>
    <w:basedOn w:val="1"/>
    <w:link w:val="50"/>
    <w:unhideWhenUsed/>
    <w:uiPriority w:val="99"/>
    <w:pPr>
      <w:tabs>
        <w:tab w:val="center" w:pos="4680"/>
        <w:tab w:val="right" w:pos="9360"/>
      </w:tabs>
      <w:spacing w:after="0" w:line="240" w:lineRule="auto"/>
    </w:pPr>
  </w:style>
  <w:style w:type="paragraph" w:styleId="29">
    <w:name w:val="HTML Preformatted"/>
    <w:link w:val="22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SimSun" w:cs="Times New Roman"/>
      <w:sz w:val="20"/>
      <w:szCs w:val="20"/>
      <w:lang w:val="en-US" w:eastAsia="zh-CN" w:bidi="ar-SA"/>
    </w:rPr>
  </w:style>
  <w:style w:type="character" w:styleId="30">
    <w:name w:val="Hyperlink"/>
    <w:basedOn w:val="11"/>
    <w:uiPriority w:val="99"/>
    <w:rPr>
      <w:color w:val="0000FF"/>
      <w:u w:val="single"/>
    </w:rPr>
  </w:style>
  <w:style w:type="paragraph" w:styleId="31">
    <w:name w:val="List Bullet"/>
    <w:basedOn w:val="1"/>
    <w:uiPriority w:val="0"/>
    <w:pPr>
      <w:tabs>
        <w:tab w:val="left" w:pos="360"/>
      </w:tabs>
      <w:spacing w:after="0" w:line="240" w:lineRule="auto"/>
      <w:ind w:left="360" w:hanging="360"/>
    </w:pPr>
    <w:rPr>
      <w:rFonts w:ascii="Times New Roman" w:hAnsi="Times New Roman" w:eastAsia="Times New Roman"/>
      <w:sz w:val="24"/>
      <w:szCs w:val="24"/>
      <w:lang w:eastAsia="es-ES"/>
    </w:rPr>
  </w:style>
  <w:style w:type="paragraph" w:styleId="32">
    <w:name w:val="List Bullet 2"/>
    <w:basedOn w:val="1"/>
    <w:uiPriority w:val="0"/>
    <w:pPr>
      <w:tabs>
        <w:tab w:val="left" w:pos="643"/>
      </w:tabs>
      <w:spacing w:after="0" w:line="240" w:lineRule="auto"/>
      <w:ind w:left="643" w:hanging="360"/>
    </w:pPr>
    <w:rPr>
      <w:rFonts w:ascii="Times New Roman" w:hAnsi="Times New Roman" w:eastAsia="Times New Roman"/>
      <w:sz w:val="24"/>
      <w:szCs w:val="24"/>
      <w:lang w:eastAsia="es-ES"/>
    </w:rPr>
  </w:style>
  <w:style w:type="paragraph" w:styleId="33">
    <w:name w:val="List Bullet 3"/>
    <w:basedOn w:val="1"/>
    <w:uiPriority w:val="0"/>
    <w:pPr>
      <w:tabs>
        <w:tab w:val="left" w:pos="926"/>
      </w:tabs>
      <w:spacing w:after="0" w:line="240" w:lineRule="auto"/>
      <w:ind w:left="926" w:hanging="360"/>
    </w:pPr>
    <w:rPr>
      <w:rFonts w:ascii="Times New Roman" w:hAnsi="Times New Roman" w:eastAsia="Times New Roman"/>
      <w:sz w:val="24"/>
      <w:szCs w:val="24"/>
      <w:lang w:eastAsia="es-ES"/>
    </w:rPr>
  </w:style>
  <w:style w:type="paragraph" w:styleId="34">
    <w:name w:val="List Bullet 4"/>
    <w:basedOn w:val="1"/>
    <w:uiPriority w:val="0"/>
    <w:pPr>
      <w:tabs>
        <w:tab w:val="left" w:pos="1209"/>
      </w:tabs>
      <w:spacing w:after="0" w:line="240" w:lineRule="auto"/>
      <w:ind w:left="1209" w:hanging="360"/>
    </w:pPr>
    <w:rPr>
      <w:rFonts w:ascii="Times New Roman" w:hAnsi="Times New Roman" w:eastAsia="Times New Roman"/>
      <w:sz w:val="24"/>
      <w:szCs w:val="24"/>
      <w:lang w:eastAsia="es-ES"/>
    </w:rPr>
  </w:style>
  <w:style w:type="paragraph" w:styleId="35">
    <w:name w:val="List Bullet 5"/>
    <w:basedOn w:val="1"/>
    <w:uiPriority w:val="0"/>
    <w:pPr>
      <w:tabs>
        <w:tab w:val="left" w:pos="1492"/>
      </w:tabs>
      <w:spacing w:after="0" w:line="240" w:lineRule="auto"/>
      <w:ind w:left="1492" w:hanging="360"/>
    </w:pPr>
    <w:rPr>
      <w:rFonts w:ascii="Times New Roman" w:hAnsi="Times New Roman" w:eastAsia="Times New Roman"/>
      <w:sz w:val="24"/>
      <w:szCs w:val="24"/>
      <w:lang w:eastAsia="es-ES"/>
    </w:rPr>
  </w:style>
  <w:style w:type="paragraph" w:styleId="36">
    <w:name w:val="List Number"/>
    <w:basedOn w:val="1"/>
    <w:uiPriority w:val="0"/>
    <w:pPr>
      <w:tabs>
        <w:tab w:val="left" w:pos="360"/>
      </w:tabs>
      <w:spacing w:after="0" w:line="240" w:lineRule="auto"/>
      <w:ind w:left="360" w:hanging="360"/>
    </w:pPr>
    <w:rPr>
      <w:rFonts w:ascii="Times New Roman" w:hAnsi="Times New Roman" w:eastAsia="Times New Roman"/>
      <w:sz w:val="24"/>
      <w:szCs w:val="24"/>
      <w:lang w:eastAsia="es-ES"/>
    </w:rPr>
  </w:style>
  <w:style w:type="paragraph" w:styleId="37">
    <w:name w:val="List Number 2"/>
    <w:basedOn w:val="1"/>
    <w:uiPriority w:val="0"/>
    <w:pPr>
      <w:tabs>
        <w:tab w:val="left" w:pos="643"/>
      </w:tabs>
      <w:spacing w:after="0" w:line="240" w:lineRule="auto"/>
      <w:ind w:left="643" w:hanging="360"/>
    </w:pPr>
    <w:rPr>
      <w:rFonts w:ascii="Times New Roman" w:hAnsi="Times New Roman" w:eastAsia="Times New Roman"/>
      <w:sz w:val="24"/>
      <w:szCs w:val="24"/>
      <w:lang w:eastAsia="es-ES"/>
    </w:rPr>
  </w:style>
  <w:style w:type="paragraph" w:styleId="38">
    <w:name w:val="List Number 3"/>
    <w:basedOn w:val="1"/>
    <w:uiPriority w:val="0"/>
    <w:pPr>
      <w:tabs>
        <w:tab w:val="left" w:pos="926"/>
      </w:tabs>
      <w:spacing w:after="0" w:line="240" w:lineRule="auto"/>
      <w:ind w:left="926" w:hanging="360"/>
    </w:pPr>
    <w:rPr>
      <w:rFonts w:ascii="Times New Roman" w:hAnsi="Times New Roman" w:eastAsia="Times New Roman"/>
      <w:sz w:val="24"/>
      <w:szCs w:val="24"/>
      <w:lang w:eastAsia="es-ES"/>
    </w:rPr>
  </w:style>
  <w:style w:type="paragraph" w:styleId="39">
    <w:name w:val="List Number 4"/>
    <w:basedOn w:val="1"/>
    <w:uiPriority w:val="0"/>
    <w:pPr>
      <w:tabs>
        <w:tab w:val="left" w:pos="1209"/>
      </w:tabs>
      <w:spacing w:after="0" w:line="240" w:lineRule="auto"/>
      <w:ind w:left="1209" w:hanging="360"/>
    </w:pPr>
    <w:rPr>
      <w:rFonts w:ascii="Times New Roman" w:hAnsi="Times New Roman" w:eastAsia="Times New Roman"/>
      <w:sz w:val="24"/>
      <w:szCs w:val="24"/>
      <w:lang w:eastAsia="es-ES"/>
    </w:rPr>
  </w:style>
  <w:style w:type="paragraph" w:styleId="40">
    <w:name w:val="List Number 5"/>
    <w:basedOn w:val="1"/>
    <w:uiPriority w:val="0"/>
    <w:pPr>
      <w:tabs>
        <w:tab w:val="left" w:pos="1492"/>
      </w:tabs>
      <w:spacing w:after="0" w:line="240" w:lineRule="auto"/>
      <w:ind w:left="1492" w:hanging="360"/>
    </w:pPr>
    <w:rPr>
      <w:rFonts w:ascii="Times New Roman" w:hAnsi="Times New Roman" w:eastAsia="Times New Roman"/>
      <w:sz w:val="24"/>
      <w:szCs w:val="24"/>
      <w:lang w:eastAsia="es-ES"/>
    </w:rPr>
  </w:style>
  <w:style w:type="paragraph" w:styleId="41">
    <w:name w:val="Normal (Web)"/>
    <w:basedOn w:val="1"/>
    <w:uiPriority w:val="99"/>
    <w:pPr>
      <w:spacing w:before="100" w:beforeAutospacing="1" w:after="100" w:afterAutospacing="1" w:line="240" w:lineRule="auto"/>
    </w:pPr>
    <w:rPr>
      <w:rFonts w:ascii="Times New Roman" w:hAnsi="Times New Roman" w:eastAsia="Times New Roman"/>
      <w:sz w:val="24"/>
      <w:szCs w:val="24"/>
      <w:lang w:eastAsia="es-ES"/>
    </w:rPr>
  </w:style>
  <w:style w:type="character" w:styleId="42">
    <w:name w:val="page number"/>
    <w:basedOn w:val="11"/>
    <w:uiPriority w:val="0"/>
  </w:style>
  <w:style w:type="paragraph" w:styleId="43">
    <w:name w:val="Plain Text"/>
    <w:basedOn w:val="1"/>
    <w:link w:val="82"/>
    <w:unhideWhenUsed/>
    <w:uiPriority w:val="0"/>
    <w:pPr>
      <w:spacing w:after="0" w:line="240" w:lineRule="auto"/>
    </w:pPr>
    <w:rPr>
      <w:rFonts w:ascii="Courier New" w:hAnsi="Courier New" w:eastAsia="Times New Roman"/>
      <w:sz w:val="20"/>
      <w:szCs w:val="20"/>
    </w:rPr>
  </w:style>
  <w:style w:type="paragraph" w:styleId="44">
    <w:name w:val="Subtitle"/>
    <w:basedOn w:val="1"/>
    <w:next w:val="1"/>
    <w:link w:val="172"/>
    <w:qFormat/>
    <w:uiPriority w:val="0"/>
    <w:pPr>
      <w:spacing w:after="160" w:line="240" w:lineRule="auto"/>
    </w:pPr>
    <w:rPr>
      <w:rFonts w:asciiTheme="minorHAnsi" w:hAnsiTheme="minorHAnsi" w:eastAsiaTheme="minorEastAsia" w:cstheme="minorBidi"/>
      <w:color w:val="595959" w:themeColor="text1" w:themeTint="A6"/>
      <w:spacing w:val="15"/>
      <w:lang w:eastAsia="es-ES"/>
      <w14:textFill>
        <w14:solidFill>
          <w14:schemeClr w14:val="tx1">
            <w14:lumMod w14:val="65000"/>
            <w14:lumOff w14:val="35000"/>
          </w14:schemeClr>
        </w14:solidFill>
      </w14:textFill>
    </w:rPr>
  </w:style>
  <w:style w:type="table" w:styleId="45">
    <w:name w:val="Table Grid"/>
    <w:basedOn w:val="12"/>
    <w:uiPriority w:val="39"/>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itle"/>
    <w:basedOn w:val="1"/>
    <w:next w:val="1"/>
    <w:link w:val="70"/>
    <w:qFormat/>
    <w:uiPriority w:val="10"/>
    <w:pPr>
      <w:spacing w:after="0" w:line="240" w:lineRule="auto"/>
      <w:contextualSpacing/>
    </w:pPr>
    <w:rPr>
      <w:rFonts w:asciiTheme="majorHAnsi" w:hAnsiTheme="majorHAnsi" w:eastAsiaTheme="majorEastAsia" w:cstheme="majorBidi"/>
      <w:spacing w:val="-10"/>
      <w:kern w:val="28"/>
      <w:sz w:val="56"/>
      <w:szCs w:val="56"/>
      <w:lang w:val="es-MX"/>
    </w:rPr>
  </w:style>
  <w:style w:type="character" w:customStyle="1" w:styleId="47">
    <w:name w:val="Título 1 Car"/>
    <w:basedOn w:val="11"/>
    <w:link w:val="2"/>
    <w:uiPriority w:val="0"/>
    <w:rPr>
      <w:rFonts w:ascii="Arial" w:hAnsi="Arial" w:eastAsia="Times New Roman" w:cs="Arial"/>
      <w:b/>
      <w:bCs/>
      <w:sz w:val="28"/>
      <w:szCs w:val="24"/>
      <w:lang w:eastAsia="es-ES"/>
    </w:rPr>
  </w:style>
  <w:style w:type="character" w:customStyle="1" w:styleId="48">
    <w:name w:val="Título 2 Car"/>
    <w:basedOn w:val="11"/>
    <w:link w:val="3"/>
    <w:uiPriority w:val="0"/>
    <w:rPr>
      <w:rFonts w:ascii="Arial" w:hAnsi="Arial" w:eastAsia="Times New Roman" w:cs="Times New Roman"/>
      <w:b/>
      <w:sz w:val="24"/>
      <w:szCs w:val="20"/>
      <w:lang w:val="es-ES" w:eastAsia="es-ES"/>
    </w:rPr>
  </w:style>
  <w:style w:type="character" w:customStyle="1" w:styleId="49">
    <w:name w:val="Título 3 Car"/>
    <w:basedOn w:val="11"/>
    <w:link w:val="4"/>
    <w:qFormat/>
    <w:uiPriority w:val="0"/>
    <w:rPr>
      <w:rFonts w:ascii="Arial" w:hAnsi="Arial" w:eastAsia="Times New Roman" w:cs="Times New Roman"/>
      <w:b/>
      <w:bCs/>
      <w:sz w:val="26"/>
      <w:szCs w:val="24"/>
      <w:lang w:eastAsia="es-ES"/>
    </w:rPr>
  </w:style>
  <w:style w:type="character" w:customStyle="1" w:styleId="50">
    <w:name w:val="Encabezado Car"/>
    <w:basedOn w:val="11"/>
    <w:link w:val="28"/>
    <w:uiPriority w:val="99"/>
  </w:style>
  <w:style w:type="character" w:customStyle="1" w:styleId="51">
    <w:name w:val="Pie de página Car"/>
    <w:basedOn w:val="11"/>
    <w:link w:val="25"/>
    <w:uiPriority w:val="99"/>
  </w:style>
  <w:style w:type="paragraph" w:customStyle="1" w:styleId="52">
    <w:name w:val="Default"/>
    <w:qFormat/>
    <w:uiPriority w:val="0"/>
    <w:pPr>
      <w:autoSpaceDE w:val="0"/>
      <w:autoSpaceDN w:val="0"/>
      <w:adjustRightInd w:val="0"/>
      <w:spacing w:after="0" w:line="240" w:lineRule="auto"/>
    </w:pPr>
    <w:rPr>
      <w:rFonts w:ascii="Arial" w:hAnsi="Arial" w:eastAsia="Times New Roman" w:cs="Arial"/>
      <w:color w:val="000000"/>
      <w:sz w:val="24"/>
      <w:szCs w:val="24"/>
      <w:lang w:val="es-MX" w:eastAsia="es-MX" w:bidi="ar-SA"/>
    </w:rPr>
  </w:style>
  <w:style w:type="paragraph" w:customStyle="1" w:styleId="53">
    <w:name w:val="texto"/>
    <w:basedOn w:val="1"/>
    <w:uiPriority w:val="99"/>
    <w:pPr>
      <w:spacing w:after="101" w:line="216" w:lineRule="atLeast"/>
      <w:ind w:firstLine="288"/>
      <w:jc w:val="both"/>
    </w:pPr>
    <w:rPr>
      <w:rFonts w:ascii="Arial" w:hAnsi="Arial" w:eastAsia="Times New Roman" w:cs="Arial"/>
      <w:sz w:val="18"/>
      <w:szCs w:val="20"/>
      <w:lang w:eastAsia="es-MX"/>
    </w:rPr>
  </w:style>
  <w:style w:type="character" w:customStyle="1" w:styleId="54">
    <w:name w:val="Texto independiente 2 Car"/>
    <w:basedOn w:val="11"/>
    <w:link w:val="15"/>
    <w:qFormat/>
    <w:uiPriority w:val="0"/>
    <w:rPr>
      <w:rFonts w:ascii="Arial" w:hAnsi="Arial" w:eastAsia="Times New Roman" w:cs="Arial"/>
      <w:sz w:val="28"/>
      <w:szCs w:val="24"/>
      <w:lang w:val="es-ES" w:eastAsia="es-ES"/>
    </w:rPr>
  </w:style>
  <w:style w:type="character" w:customStyle="1" w:styleId="55">
    <w:name w:val="Título 4 Car"/>
    <w:basedOn w:val="11"/>
    <w:link w:val="5"/>
    <w:uiPriority w:val="0"/>
    <w:rPr>
      <w:rFonts w:ascii="Times New Roman" w:hAnsi="Times New Roman" w:eastAsia="Times New Roman" w:cs="Times New Roman"/>
      <w:b/>
      <w:bCs/>
      <w:sz w:val="28"/>
      <w:szCs w:val="28"/>
      <w:lang w:val="es-ES" w:eastAsia="es-ES"/>
    </w:rPr>
  </w:style>
  <w:style w:type="character" w:customStyle="1" w:styleId="56">
    <w:name w:val="Título 5 Car"/>
    <w:basedOn w:val="11"/>
    <w:link w:val="6"/>
    <w:uiPriority w:val="0"/>
    <w:rPr>
      <w:rFonts w:ascii="Calibri" w:hAnsi="Calibri" w:eastAsia="Times New Roman" w:cs="Times New Roman"/>
      <w:b/>
      <w:bCs/>
      <w:i/>
      <w:iCs/>
      <w:sz w:val="26"/>
      <w:szCs w:val="26"/>
      <w:lang w:val="es-ES"/>
    </w:rPr>
  </w:style>
  <w:style w:type="character" w:customStyle="1" w:styleId="57">
    <w:name w:val="Título 6 Car"/>
    <w:basedOn w:val="11"/>
    <w:link w:val="7"/>
    <w:uiPriority w:val="0"/>
    <w:rPr>
      <w:rFonts w:ascii="Arial" w:hAnsi="Arial" w:eastAsia="Times New Roman" w:cs="Times New Roman"/>
      <w:b/>
      <w:bCs/>
      <w:sz w:val="24"/>
      <w:szCs w:val="20"/>
      <w:lang w:val="es-ES"/>
    </w:rPr>
  </w:style>
  <w:style w:type="character" w:customStyle="1" w:styleId="58">
    <w:name w:val="Título 7 Car"/>
    <w:basedOn w:val="11"/>
    <w:link w:val="8"/>
    <w:uiPriority w:val="0"/>
    <w:rPr>
      <w:rFonts w:ascii="Times New Roman" w:hAnsi="Times New Roman" w:eastAsia="Times New Roman" w:cs="Times New Roman"/>
      <w:sz w:val="24"/>
      <w:szCs w:val="24"/>
      <w:lang w:val="es-ES" w:eastAsia="es-ES"/>
    </w:rPr>
  </w:style>
  <w:style w:type="character" w:customStyle="1" w:styleId="59">
    <w:name w:val="Título 8 Car"/>
    <w:basedOn w:val="11"/>
    <w:link w:val="9"/>
    <w:uiPriority w:val="0"/>
    <w:rPr>
      <w:rFonts w:ascii="Times New Roman" w:hAnsi="Times New Roman" w:eastAsia="Times New Roman" w:cs="Times New Roman"/>
      <w:i/>
      <w:iCs/>
      <w:sz w:val="24"/>
      <w:szCs w:val="24"/>
      <w:lang w:val="es-ES" w:eastAsia="es-ES"/>
    </w:rPr>
  </w:style>
  <w:style w:type="character" w:customStyle="1" w:styleId="60">
    <w:name w:val="Título 9 Car"/>
    <w:basedOn w:val="11"/>
    <w:link w:val="10"/>
    <w:qFormat/>
    <w:uiPriority w:val="0"/>
    <w:rPr>
      <w:rFonts w:ascii="Arial" w:hAnsi="Arial" w:eastAsia="Times New Roman" w:cs="Times New Roman"/>
      <w:b/>
      <w:color w:val="000000"/>
      <w:szCs w:val="24"/>
      <w:lang w:val="es-ES" w:eastAsia="es-ES"/>
    </w:rPr>
  </w:style>
  <w:style w:type="paragraph" w:styleId="61">
    <w:name w:val="List Paragraph"/>
    <w:basedOn w:val="1"/>
    <w:link w:val="62"/>
    <w:qFormat/>
    <w:uiPriority w:val="34"/>
    <w:pPr>
      <w:spacing w:after="0" w:line="240" w:lineRule="auto"/>
      <w:ind w:left="720"/>
      <w:contextualSpacing/>
    </w:pPr>
    <w:rPr>
      <w:rFonts w:ascii="Times New Roman" w:hAnsi="Times New Roman" w:eastAsia="Times New Roman"/>
      <w:sz w:val="24"/>
      <w:szCs w:val="24"/>
      <w:lang w:eastAsia="es-ES"/>
    </w:rPr>
  </w:style>
  <w:style w:type="character" w:customStyle="1" w:styleId="62">
    <w:name w:val="Párrafo de lista Car"/>
    <w:link w:val="61"/>
    <w:locked/>
    <w:uiPriority w:val="34"/>
    <w:rPr>
      <w:rFonts w:ascii="Times New Roman" w:hAnsi="Times New Roman" w:eastAsia="Times New Roman" w:cs="Times New Roman"/>
      <w:sz w:val="24"/>
      <w:szCs w:val="24"/>
      <w:lang w:val="es-ES" w:eastAsia="es-ES"/>
    </w:rPr>
  </w:style>
  <w:style w:type="paragraph" w:customStyle="1" w:styleId="63">
    <w:name w:val="Pa0"/>
    <w:basedOn w:val="1"/>
    <w:next w:val="1"/>
    <w:uiPriority w:val="99"/>
    <w:pPr>
      <w:autoSpaceDE w:val="0"/>
      <w:autoSpaceDN w:val="0"/>
      <w:adjustRightInd w:val="0"/>
      <w:spacing w:after="0" w:line="241" w:lineRule="atLeast"/>
    </w:pPr>
    <w:rPr>
      <w:rFonts w:ascii="Helvetica LT Std" w:hAnsi="Helvetica LT Std" w:eastAsiaTheme="minorHAnsi" w:cstheme="minorBidi"/>
      <w:sz w:val="24"/>
      <w:szCs w:val="24"/>
      <w:lang w:val="es-MX"/>
    </w:rPr>
  </w:style>
  <w:style w:type="character" w:customStyle="1" w:styleId="64">
    <w:name w:val="A4"/>
    <w:uiPriority w:val="99"/>
    <w:rPr>
      <w:rFonts w:cs="Helvetica LT Std"/>
      <w:b/>
      <w:bCs/>
      <w:color w:val="000000"/>
      <w:sz w:val="48"/>
      <w:szCs w:val="48"/>
    </w:rPr>
  </w:style>
  <w:style w:type="character" w:customStyle="1" w:styleId="65">
    <w:name w:val="A3"/>
    <w:uiPriority w:val="99"/>
    <w:rPr>
      <w:rFonts w:cs="Helvetica LT Std"/>
      <w:color w:val="000000"/>
      <w:sz w:val="22"/>
      <w:szCs w:val="22"/>
    </w:rPr>
  </w:style>
  <w:style w:type="character" w:customStyle="1" w:styleId="66">
    <w:name w:val="Texto de globo Car"/>
    <w:basedOn w:val="11"/>
    <w:link w:val="13"/>
    <w:uiPriority w:val="0"/>
    <w:rPr>
      <w:rFonts w:ascii="Segoe UI" w:hAnsi="Segoe UI" w:eastAsia="Times New Roman" w:cs="Segoe UI"/>
      <w:sz w:val="18"/>
      <w:szCs w:val="18"/>
      <w:lang w:val="es-ES" w:eastAsia="es-ES"/>
    </w:rPr>
  </w:style>
  <w:style w:type="character" w:customStyle="1" w:styleId="67">
    <w:name w:val="Texto nota pie Car"/>
    <w:basedOn w:val="11"/>
    <w:link w:val="27"/>
    <w:semiHidden/>
    <w:uiPriority w:val="0"/>
    <w:rPr>
      <w:rFonts w:ascii="Calibri" w:hAnsi="Calibri" w:eastAsia="Calibri" w:cs="Times New Roman"/>
      <w:sz w:val="20"/>
      <w:szCs w:val="20"/>
      <w:lang w:val="es-ES"/>
    </w:rPr>
  </w:style>
  <w:style w:type="character" w:customStyle="1" w:styleId="68">
    <w:name w:val="Texto comentario Car1"/>
    <w:link w:val="22"/>
    <w:semiHidden/>
    <w:locked/>
    <w:uiPriority w:val="99"/>
    <w:rPr>
      <w:rFonts w:ascii="Times New Roman" w:hAnsi="Times New Roman" w:eastAsia="Times New Roman" w:cs="Times New Roman"/>
      <w:sz w:val="20"/>
      <w:szCs w:val="20"/>
      <w:lang w:val="es-ES" w:eastAsia="es-ES"/>
    </w:rPr>
  </w:style>
  <w:style w:type="character" w:customStyle="1" w:styleId="69">
    <w:name w:val="Texto comentario Car"/>
    <w:basedOn w:val="11"/>
    <w:qFormat/>
    <w:uiPriority w:val="0"/>
    <w:rPr>
      <w:rFonts w:ascii="Calibri" w:hAnsi="Calibri" w:eastAsia="Calibri" w:cs="Times New Roman"/>
      <w:sz w:val="20"/>
      <w:szCs w:val="20"/>
      <w:lang w:val="es-ES"/>
    </w:rPr>
  </w:style>
  <w:style w:type="character" w:customStyle="1" w:styleId="70">
    <w:name w:val="Título Car1"/>
    <w:basedOn w:val="11"/>
    <w:link w:val="46"/>
    <w:uiPriority w:val="10"/>
    <w:rPr>
      <w:rFonts w:asciiTheme="majorHAnsi" w:hAnsiTheme="majorHAnsi" w:eastAsiaTheme="majorEastAsia" w:cstheme="majorBidi"/>
      <w:spacing w:val="-10"/>
      <w:kern w:val="28"/>
      <w:sz w:val="56"/>
      <w:szCs w:val="56"/>
    </w:rPr>
  </w:style>
  <w:style w:type="character" w:customStyle="1" w:styleId="71">
    <w:name w:val="Título Car"/>
    <w:basedOn w:val="11"/>
    <w:link w:val="72"/>
    <w:uiPriority w:val="0"/>
    <w:rPr>
      <w:rFonts w:asciiTheme="majorHAnsi" w:hAnsiTheme="majorHAnsi" w:eastAsiaTheme="majorEastAsia" w:cstheme="majorBidi"/>
      <w:spacing w:val="-10"/>
      <w:kern w:val="28"/>
      <w:sz w:val="56"/>
      <w:szCs w:val="56"/>
      <w:lang w:val="es-ES"/>
    </w:rPr>
  </w:style>
  <w:style w:type="paragraph" w:customStyle="1" w:styleId="72">
    <w:name w:val="Título1"/>
    <w:basedOn w:val="1"/>
    <w:next w:val="46"/>
    <w:link w:val="71"/>
    <w:qFormat/>
    <w:uiPriority w:val="0"/>
    <w:pPr>
      <w:spacing w:after="0" w:line="360" w:lineRule="auto"/>
      <w:ind w:firstLine="708"/>
      <w:jc w:val="center"/>
    </w:pPr>
    <w:rPr>
      <w:rFonts w:asciiTheme="majorHAnsi" w:hAnsiTheme="majorHAnsi" w:eastAsiaTheme="majorEastAsia" w:cstheme="majorBidi"/>
      <w:spacing w:val="-10"/>
      <w:kern w:val="28"/>
      <w:sz w:val="56"/>
      <w:szCs w:val="56"/>
    </w:rPr>
  </w:style>
  <w:style w:type="character" w:customStyle="1" w:styleId="73">
    <w:name w:val="Texto independiente Car"/>
    <w:basedOn w:val="11"/>
    <w:link w:val="14"/>
    <w:qFormat/>
    <w:uiPriority w:val="0"/>
    <w:rPr>
      <w:rFonts w:ascii="Arial" w:hAnsi="Arial" w:eastAsia="Times New Roman" w:cs="Times New Roman"/>
      <w:sz w:val="24"/>
      <w:szCs w:val="24"/>
      <w:lang w:val="es-ES" w:eastAsia="es-ES"/>
    </w:rPr>
  </w:style>
  <w:style w:type="character" w:customStyle="1" w:styleId="74">
    <w:name w:val="Sangría de texto normal Car"/>
    <w:basedOn w:val="11"/>
    <w:link w:val="17"/>
    <w:uiPriority w:val="0"/>
    <w:rPr>
      <w:rFonts w:ascii="Times New Roman" w:hAnsi="Times New Roman" w:eastAsia="Times New Roman" w:cs="Times New Roman"/>
      <w:sz w:val="24"/>
      <w:szCs w:val="24"/>
      <w:lang w:val="es-ES" w:eastAsia="es-ES"/>
    </w:rPr>
  </w:style>
  <w:style w:type="character" w:customStyle="1" w:styleId="75">
    <w:name w:val="Sangría de texto normal Car1"/>
    <w:basedOn w:val="11"/>
    <w:semiHidden/>
    <w:uiPriority w:val="99"/>
    <w:rPr>
      <w:rFonts w:ascii="Calibri" w:hAnsi="Calibri" w:eastAsia="Calibri" w:cs="Times New Roman"/>
      <w:lang w:val="es-ES"/>
    </w:rPr>
  </w:style>
  <w:style w:type="character" w:customStyle="1" w:styleId="76">
    <w:name w:val="Texto independiente 3 Car"/>
    <w:basedOn w:val="11"/>
    <w:link w:val="16"/>
    <w:uiPriority w:val="0"/>
    <w:rPr>
      <w:rFonts w:ascii="Times New Roman" w:hAnsi="Times New Roman" w:eastAsia="Times New Roman" w:cs="Times New Roman"/>
      <w:sz w:val="16"/>
      <w:szCs w:val="16"/>
      <w:lang w:val="es-ES"/>
    </w:rPr>
  </w:style>
  <w:style w:type="character" w:customStyle="1" w:styleId="77">
    <w:name w:val="Texto independiente 3 Car1"/>
    <w:basedOn w:val="11"/>
    <w:semiHidden/>
    <w:uiPriority w:val="99"/>
    <w:rPr>
      <w:rFonts w:ascii="Calibri" w:hAnsi="Calibri" w:eastAsia="Calibri" w:cs="Times New Roman"/>
      <w:sz w:val="16"/>
      <w:szCs w:val="16"/>
      <w:lang w:val="es-ES"/>
    </w:rPr>
  </w:style>
  <w:style w:type="character" w:customStyle="1" w:styleId="78">
    <w:name w:val="Sangría 2 de t. independiente Car"/>
    <w:basedOn w:val="11"/>
    <w:link w:val="18"/>
    <w:uiPriority w:val="0"/>
    <w:rPr>
      <w:rFonts w:ascii="Arial" w:hAnsi="Arial" w:eastAsia="Times New Roman" w:cs="Times New Roman"/>
      <w:sz w:val="24"/>
      <w:szCs w:val="24"/>
      <w:lang w:val="es-ES"/>
    </w:rPr>
  </w:style>
  <w:style w:type="character" w:customStyle="1" w:styleId="79">
    <w:name w:val="Sangría 2 de t. independiente Car1"/>
    <w:basedOn w:val="11"/>
    <w:semiHidden/>
    <w:qFormat/>
    <w:uiPriority w:val="99"/>
    <w:rPr>
      <w:rFonts w:ascii="Calibri" w:hAnsi="Calibri" w:eastAsia="Calibri" w:cs="Times New Roman"/>
      <w:lang w:val="es-ES"/>
    </w:rPr>
  </w:style>
  <w:style w:type="character" w:customStyle="1" w:styleId="80">
    <w:name w:val="Sangría 3 de t. independiente Car"/>
    <w:basedOn w:val="11"/>
    <w:link w:val="19"/>
    <w:qFormat/>
    <w:uiPriority w:val="0"/>
    <w:rPr>
      <w:rFonts w:ascii="Arial" w:hAnsi="Arial" w:eastAsia="Times New Roman" w:cs="Times New Roman"/>
      <w:b/>
      <w:sz w:val="32"/>
      <w:szCs w:val="24"/>
      <w:lang w:val="es-ES" w:eastAsia="es-ES"/>
    </w:rPr>
  </w:style>
  <w:style w:type="character" w:customStyle="1" w:styleId="81">
    <w:name w:val="Sangría 3 de t. independiente Car1"/>
    <w:basedOn w:val="11"/>
    <w:semiHidden/>
    <w:uiPriority w:val="99"/>
    <w:rPr>
      <w:rFonts w:ascii="Calibri" w:hAnsi="Calibri" w:eastAsia="Calibri" w:cs="Times New Roman"/>
      <w:sz w:val="16"/>
      <w:szCs w:val="16"/>
      <w:lang w:val="es-ES"/>
    </w:rPr>
  </w:style>
  <w:style w:type="character" w:customStyle="1" w:styleId="82">
    <w:name w:val="Texto sin formato Car"/>
    <w:basedOn w:val="11"/>
    <w:link w:val="43"/>
    <w:uiPriority w:val="0"/>
    <w:rPr>
      <w:rFonts w:ascii="Courier New" w:hAnsi="Courier New" w:eastAsia="Times New Roman" w:cs="Times New Roman"/>
      <w:sz w:val="20"/>
      <w:szCs w:val="20"/>
      <w:lang w:val="es-ES"/>
    </w:rPr>
  </w:style>
  <w:style w:type="character" w:customStyle="1" w:styleId="83">
    <w:name w:val="Texto sin formato Car1"/>
    <w:basedOn w:val="11"/>
    <w:semiHidden/>
    <w:uiPriority w:val="99"/>
    <w:rPr>
      <w:rFonts w:ascii="Consolas" w:hAnsi="Consolas" w:eastAsia="Calibri" w:cs="Times New Roman"/>
      <w:sz w:val="21"/>
      <w:szCs w:val="21"/>
      <w:lang w:val="es-ES"/>
    </w:rPr>
  </w:style>
  <w:style w:type="character" w:customStyle="1" w:styleId="84">
    <w:name w:val="Asunto del comentario Car"/>
    <w:basedOn w:val="69"/>
    <w:link w:val="23"/>
    <w:uiPriority w:val="0"/>
    <w:rPr>
      <w:rFonts w:ascii="Times New Roman" w:hAnsi="Times New Roman" w:eastAsia="Times New Roman" w:cs="Times New Roman"/>
      <w:b/>
      <w:bCs/>
      <w:sz w:val="20"/>
      <w:szCs w:val="20"/>
      <w:lang w:val="es-ES" w:eastAsia="es-ES"/>
    </w:rPr>
  </w:style>
  <w:style w:type="paragraph" w:styleId="85">
    <w:name w:val="No Spacing"/>
    <w:qFormat/>
    <w:uiPriority w:val="1"/>
    <w:pPr>
      <w:spacing w:after="0" w:line="240" w:lineRule="auto"/>
    </w:pPr>
    <w:rPr>
      <w:rFonts w:ascii="Times New Roman" w:hAnsi="Times New Roman" w:eastAsia="Times New Roman" w:cs="Times New Roman"/>
      <w:sz w:val="24"/>
      <w:szCs w:val="24"/>
      <w:lang w:val="es-ES" w:eastAsia="es-ES" w:bidi="ar-SA"/>
    </w:rPr>
  </w:style>
  <w:style w:type="paragraph" w:customStyle="1" w:styleId="86">
    <w:name w:val="ecxt"/>
    <w:basedOn w:val="1"/>
    <w:uiPriority w:val="99"/>
    <w:pPr>
      <w:spacing w:after="324" w:line="240" w:lineRule="auto"/>
    </w:pPr>
    <w:rPr>
      <w:rFonts w:ascii="Times New Roman" w:hAnsi="Times New Roman" w:eastAsia="Times New Roman"/>
      <w:sz w:val="24"/>
      <w:szCs w:val="24"/>
      <w:lang w:eastAsia="es-ES"/>
    </w:rPr>
  </w:style>
  <w:style w:type="paragraph" w:customStyle="1" w:styleId="87">
    <w:name w:val="Contenido de la tabla"/>
    <w:basedOn w:val="1"/>
    <w:uiPriority w:val="99"/>
    <w:pPr>
      <w:widowControl w:val="0"/>
      <w:suppressLineNumbers/>
      <w:suppressAutoHyphens/>
      <w:spacing w:after="0" w:line="240" w:lineRule="auto"/>
    </w:pPr>
    <w:rPr>
      <w:rFonts w:ascii="Times New Roman" w:hAnsi="Times New Roman" w:eastAsia="Tahoma"/>
      <w:kern w:val="2"/>
      <w:sz w:val="24"/>
      <w:szCs w:val="24"/>
      <w:lang w:val="es-MX"/>
    </w:rPr>
  </w:style>
  <w:style w:type="paragraph" w:customStyle="1" w:styleId="88">
    <w:name w:val="Párrafo de lista1"/>
    <w:basedOn w:val="1"/>
    <w:uiPriority w:val="0"/>
    <w:pPr>
      <w:ind w:left="720"/>
      <w:contextualSpacing/>
    </w:pPr>
    <w:rPr>
      <w:rFonts w:eastAsia="Times New Roman"/>
      <w:lang w:val="es-MX"/>
    </w:rPr>
  </w:style>
  <w:style w:type="paragraph" w:customStyle="1" w:styleId="89">
    <w:name w:val="xl54"/>
    <w:basedOn w:val="1"/>
    <w:uiPriority w:val="0"/>
    <w:pPr>
      <w:spacing w:before="100" w:beforeAutospacing="1" w:after="100" w:afterAutospacing="1" w:line="240" w:lineRule="auto"/>
      <w:jc w:val="center"/>
    </w:pPr>
    <w:rPr>
      <w:rFonts w:ascii="Times New Roman" w:hAnsi="Times New Roman" w:eastAsia="Times New Roman"/>
      <w:sz w:val="24"/>
      <w:szCs w:val="24"/>
      <w:lang w:eastAsia="es-ES"/>
    </w:rPr>
  </w:style>
  <w:style w:type="paragraph" w:customStyle="1" w:styleId="90">
    <w:name w:val="[Normal]"/>
    <w:uiPriority w:val="99"/>
    <w:pPr>
      <w:widowControl w:val="0"/>
      <w:autoSpaceDE w:val="0"/>
      <w:autoSpaceDN w:val="0"/>
      <w:adjustRightInd w:val="0"/>
      <w:spacing w:after="0" w:line="240" w:lineRule="auto"/>
    </w:pPr>
    <w:rPr>
      <w:rFonts w:ascii="Arial" w:hAnsi="Arial" w:eastAsia="Times New Roman" w:cs="Arial"/>
      <w:sz w:val="24"/>
      <w:szCs w:val="24"/>
      <w:lang w:val="es-ES" w:eastAsia="es-ES" w:bidi="ar-SA"/>
    </w:rPr>
  </w:style>
  <w:style w:type="paragraph" w:customStyle="1" w:styleId="91">
    <w:name w:val="Texto independiente 21"/>
    <w:basedOn w:val="1"/>
    <w:uiPriority w:val="0"/>
    <w:pPr>
      <w:suppressAutoHyphens/>
      <w:autoSpaceDE w:val="0"/>
      <w:spacing w:after="0" w:line="240" w:lineRule="auto"/>
      <w:ind w:right="615"/>
      <w:jc w:val="both"/>
    </w:pPr>
    <w:rPr>
      <w:rFonts w:ascii="Arial" w:hAnsi="Arial" w:eastAsia="Times New Roman"/>
      <w:sz w:val="18"/>
      <w:szCs w:val="20"/>
      <w:lang w:val="es-MX" w:eastAsia="ar-SA"/>
    </w:rPr>
  </w:style>
  <w:style w:type="paragraph" w:customStyle="1" w:styleId="92">
    <w:name w:val="Sin espaciado1"/>
    <w:qFormat/>
    <w:uiPriority w:val="1"/>
    <w:pPr>
      <w:spacing w:after="0" w:line="240" w:lineRule="auto"/>
    </w:pPr>
    <w:rPr>
      <w:rFonts w:ascii="Calibri" w:hAnsi="Calibri" w:eastAsia="Times New Roman" w:cs="Times New Roman"/>
      <w:sz w:val="22"/>
      <w:szCs w:val="22"/>
      <w:lang w:val="es-MX" w:eastAsia="en-US" w:bidi="ar-SA"/>
    </w:rPr>
  </w:style>
  <w:style w:type="paragraph" w:customStyle="1" w:styleId="93">
    <w:name w:val="font5"/>
    <w:basedOn w:val="1"/>
    <w:uiPriority w:val="0"/>
    <w:pPr>
      <w:spacing w:before="100" w:beforeAutospacing="1" w:after="100" w:afterAutospacing="1" w:line="240" w:lineRule="auto"/>
    </w:pPr>
    <w:rPr>
      <w:rFonts w:ascii="Arial Narrow" w:hAnsi="Arial Narrow" w:eastAsia="Times New Roman"/>
      <w:color w:val="000000"/>
      <w:sz w:val="16"/>
      <w:szCs w:val="16"/>
      <w:lang w:val="es-MX" w:eastAsia="es-MX"/>
    </w:rPr>
  </w:style>
  <w:style w:type="paragraph" w:customStyle="1" w:styleId="94">
    <w:name w:val="font6"/>
    <w:basedOn w:val="1"/>
    <w:uiPriority w:val="0"/>
    <w:pPr>
      <w:spacing w:before="100" w:beforeAutospacing="1" w:after="100" w:afterAutospacing="1" w:line="240" w:lineRule="auto"/>
    </w:pPr>
    <w:rPr>
      <w:rFonts w:ascii="Arial Narrow" w:hAnsi="Arial Narrow" w:eastAsia="Times New Roman"/>
      <w:color w:val="000000"/>
      <w:sz w:val="16"/>
      <w:szCs w:val="16"/>
      <w:lang w:val="es-MX" w:eastAsia="es-MX"/>
    </w:rPr>
  </w:style>
  <w:style w:type="paragraph" w:customStyle="1" w:styleId="95">
    <w:name w:val="xl116"/>
    <w:basedOn w:val="1"/>
    <w:uiPriority w:val="0"/>
    <w:pPr>
      <w:spacing w:before="100" w:beforeAutospacing="1" w:after="100" w:afterAutospacing="1" w:line="240" w:lineRule="auto"/>
    </w:pPr>
    <w:rPr>
      <w:rFonts w:ascii="Arial" w:hAnsi="Arial" w:eastAsia="Times New Roman" w:cs="Arial"/>
      <w:sz w:val="16"/>
      <w:szCs w:val="16"/>
      <w:lang w:val="es-MX" w:eastAsia="es-MX"/>
    </w:rPr>
  </w:style>
  <w:style w:type="paragraph" w:customStyle="1" w:styleId="96">
    <w:name w:val="xl117"/>
    <w:basedOn w:val="1"/>
    <w:uiPriority w:val="0"/>
    <w:pPr>
      <w:pBdr>
        <w:top w:val="single" w:color="auto" w:sz="8" w:space="0"/>
        <w:bottom w:val="single" w:color="auto" w:sz="8" w:space="0"/>
      </w:pBdr>
      <w:shd w:val="clear" w:color="auto" w:fill="F2F2F2"/>
      <w:spacing w:before="100" w:beforeAutospacing="1" w:after="100" w:afterAutospacing="1" w:line="240" w:lineRule="auto"/>
      <w:jc w:val="center"/>
    </w:pPr>
    <w:rPr>
      <w:rFonts w:ascii="Arial Narrow" w:hAnsi="Arial Narrow" w:eastAsia="Times New Roman"/>
      <w:b/>
      <w:bCs/>
      <w:i/>
      <w:iCs/>
      <w:color w:val="000000"/>
      <w:sz w:val="16"/>
      <w:szCs w:val="16"/>
      <w:lang w:val="es-MX" w:eastAsia="es-MX"/>
    </w:rPr>
  </w:style>
  <w:style w:type="paragraph" w:customStyle="1" w:styleId="97">
    <w:name w:val="xl118"/>
    <w:basedOn w:val="1"/>
    <w:uiPriority w:val="0"/>
    <w:pPr>
      <w:pBdr>
        <w:top w:val="single" w:color="auto" w:sz="8" w:space="0"/>
        <w:bottom w:val="single" w:color="auto" w:sz="8" w:space="0"/>
      </w:pBdr>
      <w:shd w:val="clear" w:color="auto" w:fill="F2F2F2"/>
      <w:spacing w:before="100" w:beforeAutospacing="1" w:after="100" w:afterAutospacing="1" w:line="240" w:lineRule="auto"/>
      <w:jc w:val="center"/>
    </w:pPr>
    <w:rPr>
      <w:rFonts w:ascii="Arial Narrow" w:hAnsi="Arial Narrow" w:eastAsia="Times New Roman"/>
      <w:i/>
      <w:iCs/>
      <w:color w:val="000000"/>
      <w:sz w:val="16"/>
      <w:szCs w:val="16"/>
      <w:lang w:val="es-MX" w:eastAsia="es-MX"/>
    </w:rPr>
  </w:style>
  <w:style w:type="paragraph" w:customStyle="1" w:styleId="98">
    <w:name w:val="xl119"/>
    <w:basedOn w:val="1"/>
    <w:uiPriority w:val="0"/>
    <w:pPr>
      <w:shd w:val="clear" w:color="auto" w:fill="F2F2F2"/>
      <w:spacing w:before="100" w:beforeAutospacing="1" w:after="100" w:afterAutospacing="1" w:line="240" w:lineRule="auto"/>
    </w:pPr>
    <w:rPr>
      <w:rFonts w:ascii="Arial Narrow" w:hAnsi="Arial Narrow" w:eastAsia="Times New Roman"/>
      <w:color w:val="000000"/>
      <w:sz w:val="16"/>
      <w:szCs w:val="16"/>
      <w:lang w:val="es-MX" w:eastAsia="es-MX"/>
    </w:rPr>
  </w:style>
  <w:style w:type="paragraph" w:customStyle="1" w:styleId="99">
    <w:name w:val="xl120"/>
    <w:basedOn w:val="1"/>
    <w:uiPriority w:val="0"/>
    <w:pPr>
      <w:pBdr>
        <w:top w:val="single" w:color="auto" w:sz="8" w:space="0"/>
        <w:bottom w:val="single" w:color="auto" w:sz="8" w:space="0"/>
      </w:pBdr>
      <w:shd w:val="clear" w:color="auto" w:fill="F2F2F2"/>
      <w:spacing w:before="100" w:beforeAutospacing="1" w:after="100" w:afterAutospacing="1" w:line="240" w:lineRule="auto"/>
      <w:jc w:val="center"/>
    </w:pPr>
    <w:rPr>
      <w:rFonts w:ascii="Arial Narrow" w:hAnsi="Arial Narrow" w:eastAsia="Times New Roman"/>
      <w:i/>
      <w:iCs/>
      <w:color w:val="000000"/>
      <w:sz w:val="16"/>
      <w:szCs w:val="16"/>
      <w:lang w:val="es-MX" w:eastAsia="es-MX"/>
    </w:rPr>
  </w:style>
  <w:style w:type="paragraph" w:customStyle="1" w:styleId="100">
    <w:name w:val="xl121"/>
    <w:basedOn w:val="1"/>
    <w:uiPriority w:val="0"/>
    <w:pPr>
      <w:spacing w:before="100" w:beforeAutospacing="1" w:after="100" w:afterAutospacing="1" w:line="240" w:lineRule="auto"/>
      <w:jc w:val="center"/>
    </w:pPr>
    <w:rPr>
      <w:rFonts w:ascii="Arial Narrow" w:hAnsi="Arial Narrow" w:eastAsia="Times New Roman"/>
      <w:color w:val="000000"/>
      <w:sz w:val="16"/>
      <w:szCs w:val="16"/>
      <w:lang w:val="es-MX" w:eastAsia="es-MX"/>
    </w:rPr>
  </w:style>
  <w:style w:type="paragraph" w:customStyle="1" w:styleId="101">
    <w:name w:val="xl122"/>
    <w:basedOn w:val="1"/>
    <w:uiPriority w:val="0"/>
    <w:pPr>
      <w:pBdr>
        <w:bottom w:val="single" w:color="auto" w:sz="8" w:space="0"/>
      </w:pBdr>
      <w:shd w:val="clear" w:color="auto" w:fill="F2F2F2"/>
      <w:spacing w:before="100" w:beforeAutospacing="1" w:after="100" w:afterAutospacing="1" w:line="240" w:lineRule="auto"/>
      <w:jc w:val="center"/>
    </w:pPr>
    <w:rPr>
      <w:rFonts w:ascii="Arial Narrow" w:hAnsi="Arial Narrow" w:eastAsia="Times New Roman"/>
      <w:color w:val="000000"/>
      <w:sz w:val="16"/>
      <w:szCs w:val="16"/>
      <w:lang w:val="es-MX" w:eastAsia="es-MX"/>
    </w:rPr>
  </w:style>
  <w:style w:type="paragraph" w:customStyle="1" w:styleId="102">
    <w:name w:val="xl123"/>
    <w:basedOn w:val="1"/>
    <w:uiPriority w:val="0"/>
    <w:pPr>
      <w:pBdr>
        <w:top w:val="single" w:color="auto" w:sz="4" w:space="0"/>
        <w:bottom w:val="single" w:color="auto" w:sz="8" w:space="0"/>
      </w:pBdr>
      <w:shd w:val="clear" w:color="auto" w:fill="F2F2F2"/>
      <w:spacing w:before="100" w:beforeAutospacing="1" w:after="100" w:afterAutospacing="1" w:line="240" w:lineRule="auto"/>
      <w:jc w:val="center"/>
    </w:pPr>
    <w:rPr>
      <w:rFonts w:ascii="Arial Narrow" w:hAnsi="Arial Narrow" w:eastAsia="Times New Roman"/>
      <w:i/>
      <w:iCs/>
      <w:color w:val="000000"/>
      <w:sz w:val="16"/>
      <w:szCs w:val="16"/>
      <w:lang w:val="es-MX" w:eastAsia="es-MX"/>
    </w:rPr>
  </w:style>
  <w:style w:type="paragraph" w:customStyle="1" w:styleId="103">
    <w:name w:val="xl124"/>
    <w:basedOn w:val="1"/>
    <w:uiPriority w:val="0"/>
    <w:pPr>
      <w:pBdr>
        <w:top w:val="single" w:color="auto" w:sz="4" w:space="0"/>
        <w:bottom w:val="single" w:color="auto" w:sz="8" w:space="0"/>
      </w:pBdr>
      <w:shd w:val="clear" w:color="auto" w:fill="F2F2F2"/>
      <w:spacing w:before="100" w:beforeAutospacing="1" w:after="100" w:afterAutospacing="1" w:line="240" w:lineRule="auto"/>
      <w:jc w:val="center"/>
    </w:pPr>
    <w:rPr>
      <w:rFonts w:ascii="Arial Narrow" w:hAnsi="Arial Narrow" w:eastAsia="Times New Roman"/>
      <w:i/>
      <w:iCs/>
      <w:color w:val="000000"/>
      <w:sz w:val="16"/>
      <w:szCs w:val="16"/>
      <w:lang w:val="es-MX" w:eastAsia="es-MX"/>
    </w:rPr>
  </w:style>
  <w:style w:type="paragraph" w:customStyle="1" w:styleId="104">
    <w:name w:val="xl125"/>
    <w:basedOn w:val="1"/>
    <w:uiPriority w:val="0"/>
    <w:pPr>
      <w:spacing w:before="100" w:beforeAutospacing="1" w:after="100" w:afterAutospacing="1" w:line="240" w:lineRule="auto"/>
      <w:jc w:val="right"/>
    </w:pPr>
    <w:rPr>
      <w:rFonts w:ascii="Arial Narrow" w:hAnsi="Arial Narrow" w:eastAsia="Times New Roman"/>
      <w:color w:val="7030A0"/>
      <w:sz w:val="16"/>
      <w:szCs w:val="16"/>
      <w:lang w:val="es-MX" w:eastAsia="es-MX"/>
    </w:rPr>
  </w:style>
  <w:style w:type="paragraph" w:customStyle="1" w:styleId="105">
    <w:name w:val="xl126"/>
    <w:basedOn w:val="1"/>
    <w:uiPriority w:val="0"/>
    <w:pPr>
      <w:shd w:val="clear" w:color="auto" w:fill="F2F2F2"/>
      <w:spacing w:before="100" w:beforeAutospacing="1" w:after="100" w:afterAutospacing="1" w:line="240" w:lineRule="auto"/>
      <w:jc w:val="right"/>
    </w:pPr>
    <w:rPr>
      <w:rFonts w:ascii="Arial Narrow" w:hAnsi="Arial Narrow" w:eastAsia="Times New Roman"/>
      <w:sz w:val="16"/>
      <w:szCs w:val="16"/>
      <w:lang w:val="es-MX" w:eastAsia="es-MX"/>
    </w:rPr>
  </w:style>
  <w:style w:type="paragraph" w:customStyle="1" w:styleId="106">
    <w:name w:val="xl127"/>
    <w:basedOn w:val="1"/>
    <w:uiPriority w:val="0"/>
    <w:pPr>
      <w:pBdr>
        <w:bottom w:val="single" w:color="auto" w:sz="8" w:space="0"/>
      </w:pBdr>
      <w:shd w:val="clear" w:color="auto" w:fill="F2F2F2"/>
      <w:spacing w:before="100" w:beforeAutospacing="1" w:after="100" w:afterAutospacing="1" w:line="240" w:lineRule="auto"/>
      <w:jc w:val="right"/>
    </w:pPr>
    <w:rPr>
      <w:rFonts w:ascii="Arial Narrow" w:hAnsi="Arial Narrow" w:eastAsia="Times New Roman"/>
      <w:color w:val="0070C0"/>
      <w:sz w:val="16"/>
      <w:szCs w:val="16"/>
      <w:lang w:val="es-MX" w:eastAsia="es-MX"/>
    </w:rPr>
  </w:style>
  <w:style w:type="paragraph" w:customStyle="1" w:styleId="107">
    <w:name w:val="xl128"/>
    <w:basedOn w:val="1"/>
    <w:uiPriority w:val="0"/>
    <w:pPr>
      <w:pBdr>
        <w:bottom w:val="single" w:color="auto" w:sz="8" w:space="0"/>
      </w:pBdr>
      <w:shd w:val="clear" w:color="auto" w:fill="F2F2F2"/>
      <w:spacing w:before="100" w:beforeAutospacing="1" w:after="100" w:afterAutospacing="1" w:line="240" w:lineRule="auto"/>
      <w:jc w:val="right"/>
    </w:pPr>
    <w:rPr>
      <w:rFonts w:ascii="Arial Narrow" w:hAnsi="Arial Narrow" w:eastAsia="Times New Roman"/>
      <w:color w:val="7030A0"/>
      <w:sz w:val="16"/>
      <w:szCs w:val="16"/>
      <w:lang w:val="es-MX" w:eastAsia="es-MX"/>
    </w:rPr>
  </w:style>
  <w:style w:type="paragraph" w:customStyle="1" w:styleId="108">
    <w:name w:val="xl129"/>
    <w:basedOn w:val="1"/>
    <w:uiPriority w:val="0"/>
    <w:pPr>
      <w:spacing w:before="100" w:beforeAutospacing="1" w:after="100" w:afterAutospacing="1" w:line="240" w:lineRule="auto"/>
    </w:pPr>
    <w:rPr>
      <w:rFonts w:ascii="Arial Narrow" w:hAnsi="Arial Narrow" w:eastAsia="Times New Roman"/>
      <w:color w:val="000000"/>
      <w:sz w:val="16"/>
      <w:szCs w:val="16"/>
      <w:lang w:val="es-MX" w:eastAsia="es-MX"/>
    </w:rPr>
  </w:style>
  <w:style w:type="paragraph" w:customStyle="1" w:styleId="109">
    <w:name w:val="xl130"/>
    <w:basedOn w:val="1"/>
    <w:uiPriority w:val="0"/>
    <w:pPr>
      <w:pBdr>
        <w:bottom w:val="single" w:color="auto" w:sz="8" w:space="0"/>
      </w:pBdr>
      <w:shd w:val="clear" w:color="auto" w:fill="F2F2F2"/>
      <w:spacing w:before="100" w:beforeAutospacing="1" w:after="100" w:afterAutospacing="1" w:line="240" w:lineRule="auto"/>
      <w:jc w:val="both"/>
    </w:pPr>
    <w:rPr>
      <w:rFonts w:ascii="Arial Narrow" w:hAnsi="Arial Narrow" w:eastAsia="Times New Roman"/>
      <w:color w:val="000000"/>
      <w:sz w:val="16"/>
      <w:szCs w:val="16"/>
      <w:lang w:val="es-MX" w:eastAsia="es-MX"/>
    </w:rPr>
  </w:style>
  <w:style w:type="paragraph" w:customStyle="1" w:styleId="110">
    <w:name w:val="xl22"/>
    <w:basedOn w:val="1"/>
    <w:uiPriority w:val="99"/>
    <w:pPr>
      <w:spacing w:before="100" w:beforeAutospacing="1" w:after="100" w:afterAutospacing="1" w:line="240" w:lineRule="auto"/>
    </w:pPr>
    <w:rPr>
      <w:rFonts w:ascii="Arial" w:hAnsi="Arial" w:eastAsia="Times New Roman" w:cs="Arial"/>
      <w:b/>
      <w:bCs/>
      <w:sz w:val="24"/>
      <w:szCs w:val="24"/>
      <w:lang w:eastAsia="es-ES"/>
    </w:rPr>
  </w:style>
  <w:style w:type="paragraph" w:customStyle="1" w:styleId="111">
    <w:name w:val="xl24"/>
    <w:basedOn w:val="1"/>
    <w:uiPriority w:val="0"/>
    <w:pPr>
      <w:spacing w:before="100" w:beforeAutospacing="1" w:after="100" w:afterAutospacing="1" w:line="240" w:lineRule="auto"/>
      <w:jc w:val="both"/>
    </w:pPr>
    <w:rPr>
      <w:rFonts w:ascii="Arial" w:hAnsi="Arial" w:eastAsia="Times New Roman" w:cs="Arial"/>
      <w:sz w:val="16"/>
      <w:szCs w:val="16"/>
      <w:lang w:eastAsia="es-ES"/>
    </w:rPr>
  </w:style>
  <w:style w:type="paragraph" w:customStyle="1" w:styleId="112">
    <w:name w:val="indicadores3"/>
    <w:basedOn w:val="1"/>
    <w:uiPriority w:val="99"/>
    <w:pPr>
      <w:spacing w:before="100" w:beforeAutospacing="1" w:after="100" w:afterAutospacing="1" w:line="240" w:lineRule="auto"/>
      <w:ind w:left="100" w:right="100"/>
      <w:jc w:val="both"/>
    </w:pPr>
    <w:rPr>
      <w:rFonts w:ascii="Times New Roman" w:hAnsi="Times New Roman" w:eastAsia="Times New Roman"/>
      <w:sz w:val="24"/>
      <w:szCs w:val="24"/>
      <w:lang w:eastAsia="es-ES"/>
    </w:rPr>
  </w:style>
  <w:style w:type="paragraph" w:customStyle="1" w:styleId="113">
    <w:name w:val="estilo5"/>
    <w:basedOn w:val="1"/>
    <w:uiPriority w:val="99"/>
    <w:pPr>
      <w:spacing w:before="100" w:beforeAutospacing="1" w:after="100" w:afterAutospacing="1" w:line="240" w:lineRule="auto"/>
    </w:pPr>
    <w:rPr>
      <w:rFonts w:ascii="Trebuchet MS" w:hAnsi="Trebuchet MS" w:eastAsia="Times New Roman"/>
      <w:b/>
      <w:bCs/>
      <w:sz w:val="16"/>
      <w:szCs w:val="16"/>
      <w:lang w:eastAsia="es-ES"/>
    </w:rPr>
  </w:style>
  <w:style w:type="paragraph" w:customStyle="1" w:styleId="114">
    <w:name w:val="estilo6"/>
    <w:basedOn w:val="1"/>
    <w:uiPriority w:val="99"/>
    <w:pPr>
      <w:spacing w:before="100" w:beforeAutospacing="1" w:after="100" w:afterAutospacing="1" w:line="240" w:lineRule="auto"/>
    </w:pPr>
    <w:rPr>
      <w:rFonts w:ascii="Trebuchet MS" w:hAnsi="Trebuchet MS" w:eastAsia="Times New Roman"/>
      <w:sz w:val="16"/>
      <w:szCs w:val="16"/>
      <w:lang w:eastAsia="es-ES"/>
    </w:rPr>
  </w:style>
  <w:style w:type="paragraph" w:customStyle="1" w:styleId="115">
    <w:name w:val="msonormal"/>
    <w:basedOn w:val="1"/>
    <w:uiPriority w:val="0"/>
    <w:pPr>
      <w:spacing w:before="100" w:beforeAutospacing="1" w:after="100" w:afterAutospacing="1" w:line="240" w:lineRule="auto"/>
    </w:pPr>
    <w:rPr>
      <w:rFonts w:ascii="Times New Roman" w:hAnsi="Times New Roman" w:eastAsia="Times New Roman"/>
      <w:sz w:val="24"/>
      <w:szCs w:val="24"/>
      <w:lang w:val="es-MX" w:eastAsia="es-MX"/>
    </w:rPr>
  </w:style>
  <w:style w:type="paragraph" w:customStyle="1" w:styleId="116">
    <w:name w:val="xl71"/>
    <w:basedOn w:val="1"/>
    <w:uiPriority w:val="0"/>
    <w:pP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17">
    <w:name w:val="xl72"/>
    <w:basedOn w:val="1"/>
    <w:uiPriority w:val="0"/>
    <w:pPr>
      <w:spacing w:before="100" w:beforeAutospacing="1" w:after="100" w:afterAutospacing="1" w:line="240" w:lineRule="auto"/>
    </w:pPr>
    <w:rPr>
      <w:rFonts w:ascii="Eras Medium ITC" w:hAnsi="Eras Medium ITC" w:eastAsia="Times New Roman"/>
      <w:sz w:val="18"/>
      <w:szCs w:val="18"/>
      <w:lang w:val="es-MX" w:eastAsia="es-MX"/>
    </w:rPr>
  </w:style>
  <w:style w:type="paragraph" w:customStyle="1" w:styleId="118">
    <w:name w:val="xl73"/>
    <w:basedOn w:val="1"/>
    <w:uiPriority w:val="0"/>
    <w:pPr>
      <w:spacing w:before="100" w:beforeAutospacing="1" w:after="100" w:afterAutospacing="1" w:line="240" w:lineRule="auto"/>
    </w:pPr>
    <w:rPr>
      <w:rFonts w:ascii="Eras Medium ITC" w:hAnsi="Eras Medium ITC" w:eastAsia="Times New Roman"/>
      <w:sz w:val="18"/>
      <w:szCs w:val="18"/>
      <w:lang w:val="es-MX" w:eastAsia="es-MX"/>
    </w:rPr>
  </w:style>
  <w:style w:type="paragraph" w:customStyle="1" w:styleId="119">
    <w:name w:val="xl74"/>
    <w:basedOn w:val="1"/>
    <w:uiPriority w:val="0"/>
    <w:pP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20">
    <w:name w:val="xl75"/>
    <w:basedOn w:val="1"/>
    <w:uiPriority w:val="0"/>
    <w:pP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21">
    <w:name w:val="xl76"/>
    <w:basedOn w:val="1"/>
    <w:uiPriority w:val="0"/>
    <w:pP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22">
    <w:name w:val="xl77"/>
    <w:basedOn w:val="1"/>
    <w:uiPriority w:val="0"/>
    <w:pP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23">
    <w:name w:val="xl78"/>
    <w:basedOn w:val="1"/>
    <w:uiPriority w:val="0"/>
    <w:pP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24">
    <w:name w:val="xl79"/>
    <w:basedOn w:val="1"/>
    <w:uiPriority w:val="0"/>
    <w:pPr>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25">
    <w:name w:val="xl80"/>
    <w:basedOn w:val="1"/>
    <w:uiPriority w:val="0"/>
    <w:pPr>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26">
    <w:name w:val="xl81"/>
    <w:basedOn w:val="1"/>
    <w:uiPriority w:val="0"/>
    <w:pPr>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27">
    <w:name w:val="xl82"/>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28">
    <w:name w:val="xl83"/>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29">
    <w:name w:val="xl84"/>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30">
    <w:name w:val="xl85"/>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31">
    <w:name w:val="xl86"/>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32">
    <w:name w:val="xl87"/>
    <w:basedOn w:val="1"/>
    <w:uiPriority w:val="0"/>
    <w:pPr>
      <w:pBdr>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33">
    <w:name w:val="xl88"/>
    <w:basedOn w:val="1"/>
    <w:uiPriority w:val="0"/>
    <w:pPr>
      <w:pBdr>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34">
    <w:name w:val="xl89"/>
    <w:basedOn w:val="1"/>
    <w:uiPriority w:val="0"/>
    <w:pPr>
      <w:pBdr>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35">
    <w:name w:val="xl90"/>
    <w:basedOn w:val="1"/>
    <w:uiPriority w:val="0"/>
    <w:pPr>
      <w:pBdr>
        <w:top w:val="single" w:color="EBF1DE" w:sz="4" w:space="0"/>
        <w:left w:val="single" w:color="EBF1DE" w:sz="4" w:space="0"/>
        <w:bottom w:val="single" w:color="EBF1DE" w:sz="4" w:space="0"/>
        <w:right w:val="single" w:color="EBF1DE" w:sz="4" w:space="0"/>
      </w:pBdr>
      <w:shd w:val="clear" w:color="auto" w:fill="C4D79B"/>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36">
    <w:name w:val="xl91"/>
    <w:basedOn w:val="1"/>
    <w:uiPriority w:val="0"/>
    <w:pPr>
      <w:pBdr>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37">
    <w:name w:val="xl92"/>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38">
    <w:name w:val="xl93"/>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39">
    <w:name w:val="xl94"/>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0">
    <w:name w:val="xl95"/>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41">
    <w:name w:val="xl96"/>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2">
    <w:name w:val="xl97"/>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3">
    <w:name w:val="xl98"/>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4">
    <w:name w:val="xl99"/>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5">
    <w:name w:val="xl100"/>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6">
    <w:name w:val="xl101"/>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47">
    <w:name w:val="xl102"/>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right"/>
    </w:pPr>
    <w:rPr>
      <w:rFonts w:ascii="Eras Medium ITC" w:hAnsi="Eras Medium ITC" w:eastAsia="Times New Roman"/>
      <w:sz w:val="24"/>
      <w:szCs w:val="24"/>
      <w:lang w:val="es-MX" w:eastAsia="es-MX"/>
    </w:rPr>
  </w:style>
  <w:style w:type="paragraph" w:customStyle="1" w:styleId="148">
    <w:name w:val="xl103"/>
    <w:basedOn w:val="1"/>
    <w:qFormat/>
    <w:uiPriority w:val="0"/>
    <w:pPr>
      <w:pBdr>
        <w:top w:val="single" w:color="EBF1DE" w:sz="4" w:space="0"/>
        <w:left w:val="single" w:color="EBF1DE" w:sz="4" w:space="0"/>
        <w:bottom w:val="single" w:color="EBF1DE" w:sz="4" w:space="0"/>
        <w:right w:val="single" w:color="EBF1DE" w:sz="4" w:space="0"/>
      </w:pBdr>
      <w:shd w:val="clear" w:color="auto" w:fill="C4D79B"/>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49">
    <w:name w:val="xl104"/>
    <w:basedOn w:val="1"/>
    <w:uiPriority w:val="0"/>
    <w:pPr>
      <w:pBdr>
        <w:top w:val="single" w:color="EBF1DE" w:sz="4" w:space="0"/>
        <w:left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50">
    <w:name w:val="xl105"/>
    <w:basedOn w:val="1"/>
    <w:uiPriority w:val="0"/>
    <w:pPr>
      <w:pBdr>
        <w:top w:val="single" w:color="EBF1DE" w:sz="4" w:space="0"/>
        <w:left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51">
    <w:name w:val="xl106"/>
    <w:basedOn w:val="1"/>
    <w:uiPriority w:val="0"/>
    <w:pPr>
      <w:pBdr>
        <w:top w:val="single" w:color="EBF1DE" w:sz="4" w:space="0"/>
        <w:left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52">
    <w:name w:val="xl107"/>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53">
    <w:name w:val="xl108"/>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sz w:val="24"/>
      <w:szCs w:val="24"/>
      <w:lang w:val="es-MX" w:eastAsia="es-MX"/>
    </w:rPr>
  </w:style>
  <w:style w:type="paragraph" w:customStyle="1" w:styleId="154">
    <w:name w:val="xl109"/>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sz w:val="24"/>
      <w:szCs w:val="24"/>
      <w:lang w:val="es-MX" w:eastAsia="es-MX"/>
    </w:rPr>
  </w:style>
  <w:style w:type="paragraph" w:customStyle="1" w:styleId="155">
    <w:name w:val="xl110"/>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56">
    <w:name w:val="xl111"/>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center"/>
    </w:pPr>
    <w:rPr>
      <w:rFonts w:ascii="Eras Medium ITC" w:hAnsi="Eras Medium ITC" w:eastAsia="Times New Roman"/>
      <w:b/>
      <w:bCs/>
      <w:sz w:val="24"/>
      <w:szCs w:val="24"/>
      <w:lang w:val="es-MX" w:eastAsia="es-MX"/>
    </w:rPr>
  </w:style>
  <w:style w:type="paragraph" w:customStyle="1" w:styleId="157">
    <w:name w:val="xl112"/>
    <w:basedOn w:val="1"/>
    <w:uiPriority w:val="0"/>
    <w:pPr>
      <w:pBdr>
        <w:top w:val="single" w:color="EBF1DE" w:sz="4" w:space="0"/>
        <w:left w:val="single" w:color="EBF1DE" w:sz="4" w:space="0"/>
        <w:bottom w:val="single" w:color="EBF1DE" w:sz="4" w:space="0"/>
        <w:right w:val="single" w:color="EBF1DE" w:sz="4" w:space="0"/>
      </w:pBdr>
      <w:shd w:val="clear" w:color="auto" w:fill="EBF1DE"/>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58">
    <w:name w:val="xl113"/>
    <w:basedOn w:val="1"/>
    <w:uiPriority w:val="0"/>
    <w:pPr>
      <w:pBdr>
        <w:top w:val="single" w:color="EBF1DE" w:sz="4" w:space="0"/>
        <w:left w:val="single" w:color="EBF1DE" w:sz="4" w:space="0"/>
        <w:bottom w:val="single" w:color="EBF1DE" w:sz="4" w:space="0"/>
        <w:right w:val="single" w:color="EBF1DE" w:sz="4" w:space="0"/>
      </w:pBdr>
      <w:shd w:val="clear" w:color="auto" w:fill="EBF1DE"/>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59">
    <w:name w:val="xl114"/>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right"/>
    </w:pPr>
    <w:rPr>
      <w:rFonts w:ascii="Eras Medium ITC" w:hAnsi="Eras Medium ITC" w:eastAsia="Times New Roman"/>
      <w:sz w:val="24"/>
      <w:szCs w:val="24"/>
      <w:lang w:val="es-MX" w:eastAsia="es-MX"/>
    </w:rPr>
  </w:style>
  <w:style w:type="paragraph" w:customStyle="1" w:styleId="160">
    <w:name w:val="xl115"/>
    <w:basedOn w:val="1"/>
    <w:uiPriority w:val="0"/>
    <w:pPr>
      <w:pBdr>
        <w:top w:val="single" w:color="EBF1DE" w:sz="4" w:space="0"/>
        <w:left w:val="single" w:color="EBF1DE" w:sz="4" w:space="0"/>
        <w:bottom w:val="single" w:color="EBF1DE" w:sz="4" w:space="0"/>
        <w:right w:val="single" w:color="EBF1DE" w:sz="4" w:space="0"/>
      </w:pBdr>
      <w:shd w:val="clear" w:color="auto" w:fill="EBF1DE"/>
      <w:spacing w:before="100" w:beforeAutospacing="1" w:after="100" w:afterAutospacing="1" w:line="240" w:lineRule="auto"/>
    </w:pPr>
    <w:rPr>
      <w:rFonts w:ascii="Eras Medium ITC" w:hAnsi="Eras Medium ITC" w:eastAsia="Times New Roman"/>
      <w:b/>
      <w:bCs/>
      <w:sz w:val="24"/>
      <w:szCs w:val="24"/>
      <w:lang w:val="es-MX" w:eastAsia="es-MX"/>
    </w:rPr>
  </w:style>
  <w:style w:type="paragraph" w:customStyle="1" w:styleId="161">
    <w:name w:val="xl131"/>
    <w:basedOn w:val="1"/>
    <w:uiPriority w:val="0"/>
    <w:pPr>
      <w:pBdr>
        <w:top w:val="single" w:color="EBF1DE" w:sz="4" w:space="0"/>
        <w:left w:val="single" w:color="EBF1DE" w:sz="4" w:space="0"/>
        <w:bottom w:val="single" w:color="EBF1DE" w:sz="4" w:space="0"/>
        <w:right w:val="single" w:color="EBF1DE" w:sz="4" w:space="0"/>
      </w:pBdr>
      <w:shd w:val="clear" w:color="auto" w:fill="C4D79B"/>
      <w:spacing w:before="100" w:beforeAutospacing="1" w:after="100" w:afterAutospacing="1" w:line="240" w:lineRule="auto"/>
      <w:jc w:val="right"/>
    </w:pPr>
    <w:rPr>
      <w:rFonts w:ascii="Eras Medium ITC" w:hAnsi="Eras Medium ITC" w:eastAsia="Times New Roman"/>
      <w:b/>
      <w:bCs/>
      <w:sz w:val="24"/>
      <w:szCs w:val="24"/>
      <w:lang w:val="es-MX" w:eastAsia="es-MX"/>
    </w:rPr>
  </w:style>
  <w:style w:type="paragraph" w:customStyle="1" w:styleId="162">
    <w:name w:val="xl132"/>
    <w:basedOn w:val="1"/>
    <w:uiPriority w:val="0"/>
    <w:pPr>
      <w:pBdr>
        <w:top w:val="single" w:color="EBF1DE" w:sz="4" w:space="0"/>
        <w:left w:val="single" w:color="EBF1DE" w:sz="4" w:space="0"/>
        <w:bottom w:val="single" w:color="EBF1DE" w:sz="4" w:space="0"/>
        <w:right w:val="single" w:color="EBF1DE" w:sz="4" w:space="0"/>
      </w:pBdr>
      <w:spacing w:before="100" w:beforeAutospacing="1" w:after="100" w:afterAutospacing="1" w:line="240" w:lineRule="auto"/>
      <w:jc w:val="both"/>
    </w:pPr>
    <w:rPr>
      <w:rFonts w:ascii="Eras Medium ITC" w:hAnsi="Eras Medium ITC" w:eastAsia="Times New Roman"/>
      <w:sz w:val="24"/>
      <w:szCs w:val="24"/>
      <w:lang w:val="es-MX" w:eastAsia="es-MX"/>
    </w:rPr>
  </w:style>
  <w:style w:type="paragraph" w:customStyle="1" w:styleId="163">
    <w:name w:val="xl133"/>
    <w:basedOn w:val="1"/>
    <w:uiPriority w:val="0"/>
    <w:pPr>
      <w:pBdr>
        <w:top w:val="single" w:color="EBF1DE" w:sz="4" w:space="0"/>
        <w:left w:val="single" w:color="EBF1DE" w:sz="4" w:space="0"/>
        <w:bottom w:val="single" w:color="EBF1DE" w:sz="4" w:space="0"/>
        <w:right w:val="single" w:color="EBF1DE" w:sz="4" w:space="0"/>
      </w:pBdr>
      <w:shd w:val="clear" w:color="auto" w:fill="C4D79B"/>
      <w:spacing w:before="100" w:beforeAutospacing="1" w:after="100" w:afterAutospacing="1" w:line="240" w:lineRule="auto"/>
      <w:jc w:val="right"/>
    </w:pPr>
    <w:rPr>
      <w:rFonts w:ascii="Eras Medium ITC" w:hAnsi="Eras Medium ITC" w:eastAsia="Times New Roman"/>
      <w:b/>
      <w:bCs/>
      <w:sz w:val="24"/>
      <w:szCs w:val="24"/>
      <w:lang w:val="es-MX" w:eastAsia="es-MX"/>
    </w:rPr>
  </w:style>
  <w:style w:type="paragraph" w:customStyle="1" w:styleId="164">
    <w:name w:val="xl134"/>
    <w:basedOn w:val="1"/>
    <w:uiPriority w:val="0"/>
    <w:pPr>
      <w:spacing w:before="100" w:beforeAutospacing="1" w:after="100" w:afterAutospacing="1" w:line="240" w:lineRule="auto"/>
      <w:jc w:val="center"/>
    </w:pPr>
    <w:rPr>
      <w:rFonts w:ascii="Eras Medium ITC" w:hAnsi="Eras Medium ITC" w:eastAsia="Times New Roman"/>
      <w:b/>
      <w:bCs/>
      <w:lang w:val="es-MX" w:eastAsia="es-MX"/>
    </w:rPr>
  </w:style>
  <w:style w:type="paragraph" w:customStyle="1" w:styleId="165">
    <w:name w:val="xl135"/>
    <w:basedOn w:val="1"/>
    <w:uiPriority w:val="0"/>
    <w:pPr>
      <w:pBdr>
        <w:top w:val="single" w:color="808080" w:sz="4" w:space="0"/>
        <w:left w:val="single" w:color="808080" w:sz="4" w:space="0"/>
        <w:bottom w:val="single" w:color="808080" w:sz="4" w:space="0"/>
        <w:right w:val="single" w:color="808080" w:sz="4" w:space="0"/>
      </w:pBdr>
      <w:shd w:val="clear" w:color="auto" w:fill="EBF1DE"/>
      <w:spacing w:before="100" w:beforeAutospacing="1" w:after="100" w:afterAutospacing="1" w:line="240" w:lineRule="auto"/>
      <w:jc w:val="center"/>
    </w:pPr>
    <w:rPr>
      <w:rFonts w:ascii="Eras Medium ITC" w:hAnsi="Eras Medium ITC" w:eastAsia="Times New Roman"/>
      <w:b/>
      <w:bCs/>
      <w:sz w:val="16"/>
      <w:szCs w:val="16"/>
      <w:lang w:val="es-MX" w:eastAsia="es-MX"/>
    </w:rPr>
  </w:style>
  <w:style w:type="paragraph" w:customStyle="1" w:styleId="166">
    <w:name w:val="xl136"/>
    <w:basedOn w:val="1"/>
    <w:uiPriority w:val="0"/>
    <w:pPr>
      <w:pBdr>
        <w:top w:val="single" w:color="808080" w:sz="4" w:space="0"/>
        <w:left w:val="single" w:color="808080" w:sz="4" w:space="0"/>
        <w:bottom w:val="single" w:color="808080" w:sz="4" w:space="0"/>
        <w:right w:val="single" w:color="808080" w:sz="4" w:space="0"/>
      </w:pBdr>
      <w:shd w:val="clear" w:color="auto" w:fill="EBF1DE"/>
      <w:spacing w:before="100" w:beforeAutospacing="1" w:after="100" w:afterAutospacing="1" w:line="240" w:lineRule="auto"/>
      <w:jc w:val="center"/>
    </w:pPr>
    <w:rPr>
      <w:rFonts w:ascii="Eras Medium ITC" w:hAnsi="Eras Medium ITC" w:eastAsia="Times New Roman"/>
      <w:b/>
      <w:bCs/>
      <w:sz w:val="16"/>
      <w:szCs w:val="16"/>
      <w:lang w:val="es-MX" w:eastAsia="es-MX"/>
    </w:rPr>
  </w:style>
  <w:style w:type="paragraph" w:customStyle="1" w:styleId="167">
    <w:name w:val="xl137"/>
    <w:basedOn w:val="1"/>
    <w:uiPriority w:val="0"/>
    <w:pPr>
      <w:pBdr>
        <w:top w:val="single" w:color="808080" w:sz="4" w:space="0"/>
        <w:left w:val="single" w:color="808080" w:sz="4" w:space="0"/>
        <w:right w:val="single" w:color="808080" w:sz="4" w:space="0"/>
      </w:pBdr>
      <w:shd w:val="clear" w:color="auto" w:fill="EBF1DE"/>
      <w:spacing w:before="100" w:beforeAutospacing="1" w:after="100" w:afterAutospacing="1" w:line="240" w:lineRule="auto"/>
      <w:jc w:val="center"/>
    </w:pPr>
    <w:rPr>
      <w:rFonts w:ascii="Eras Medium ITC" w:hAnsi="Eras Medium ITC" w:eastAsia="Times New Roman"/>
      <w:b/>
      <w:bCs/>
      <w:sz w:val="16"/>
      <w:szCs w:val="16"/>
      <w:lang w:val="es-MX" w:eastAsia="es-MX"/>
    </w:rPr>
  </w:style>
  <w:style w:type="paragraph" w:customStyle="1" w:styleId="168">
    <w:name w:val="xl138"/>
    <w:basedOn w:val="1"/>
    <w:uiPriority w:val="0"/>
    <w:pPr>
      <w:pBdr>
        <w:left w:val="single" w:color="808080" w:sz="4" w:space="0"/>
        <w:bottom w:val="single" w:color="808080" w:sz="4" w:space="0"/>
        <w:right w:val="single" w:color="808080" w:sz="4" w:space="0"/>
      </w:pBdr>
      <w:shd w:val="clear" w:color="auto" w:fill="EBF1DE"/>
      <w:spacing w:before="100" w:beforeAutospacing="1" w:after="100" w:afterAutospacing="1" w:line="240" w:lineRule="auto"/>
      <w:jc w:val="center"/>
    </w:pPr>
    <w:rPr>
      <w:rFonts w:ascii="Eras Medium ITC" w:hAnsi="Eras Medium ITC" w:eastAsia="Times New Roman"/>
      <w:b/>
      <w:bCs/>
      <w:sz w:val="16"/>
      <w:szCs w:val="16"/>
      <w:lang w:val="es-MX" w:eastAsia="es-MX"/>
    </w:rPr>
  </w:style>
  <w:style w:type="paragraph" w:customStyle="1" w:styleId="169">
    <w:name w:val="xl139"/>
    <w:basedOn w:val="1"/>
    <w:uiPriority w:val="0"/>
    <w:pPr>
      <w:pBdr>
        <w:top w:val="single" w:color="808080" w:sz="4" w:space="0"/>
        <w:left w:val="single" w:color="808080" w:sz="4" w:space="0"/>
        <w:bottom w:val="single" w:color="808080" w:sz="4" w:space="0"/>
        <w:right w:val="single" w:color="808080" w:sz="4" w:space="0"/>
      </w:pBdr>
      <w:shd w:val="clear" w:color="auto" w:fill="EBF1DE"/>
      <w:spacing w:before="100" w:beforeAutospacing="1" w:after="100" w:afterAutospacing="1" w:line="240" w:lineRule="auto"/>
      <w:jc w:val="center"/>
    </w:pPr>
    <w:rPr>
      <w:rFonts w:ascii="Eras Medium ITC" w:hAnsi="Eras Medium ITC" w:eastAsia="Times New Roman"/>
      <w:b/>
      <w:bCs/>
      <w:sz w:val="16"/>
      <w:szCs w:val="16"/>
      <w:lang w:val="es-MX" w:eastAsia="es-MX"/>
    </w:rPr>
  </w:style>
  <w:style w:type="paragraph" w:customStyle="1" w:styleId="170">
    <w:name w:val="xl140"/>
    <w:basedOn w:val="1"/>
    <w:uiPriority w:val="0"/>
    <w:pPr>
      <w:pBdr>
        <w:top w:val="single" w:color="EBF1DE" w:sz="4" w:space="0"/>
        <w:left w:val="single" w:color="EBF1DE" w:sz="4" w:space="0"/>
        <w:bottom w:val="single" w:color="EBF1DE" w:sz="4" w:space="0"/>
        <w:right w:val="single" w:color="EBF1DE" w:sz="4" w:space="0"/>
      </w:pBdr>
      <w:shd w:val="clear" w:color="auto" w:fill="C4D79B"/>
      <w:spacing w:before="100" w:beforeAutospacing="1" w:after="100" w:afterAutospacing="1" w:line="240" w:lineRule="auto"/>
      <w:jc w:val="right"/>
    </w:pPr>
    <w:rPr>
      <w:rFonts w:ascii="Eras Medium ITC" w:hAnsi="Eras Medium ITC" w:eastAsia="Times New Roman"/>
      <w:b/>
      <w:bCs/>
      <w:sz w:val="24"/>
      <w:szCs w:val="24"/>
      <w:lang w:val="es-MX" w:eastAsia="es-MX"/>
    </w:rPr>
  </w:style>
  <w:style w:type="character" w:customStyle="1" w:styleId="171">
    <w:name w:val="apple-converted-space"/>
    <w:basedOn w:val="11"/>
    <w:uiPriority w:val="0"/>
  </w:style>
  <w:style w:type="character" w:customStyle="1" w:styleId="172">
    <w:name w:val="Subtítulo Car"/>
    <w:basedOn w:val="11"/>
    <w:link w:val="44"/>
    <w:uiPriority w:val="0"/>
    <w:rPr>
      <w:rFonts w:eastAsiaTheme="minorEastAsia"/>
      <w:color w:val="595959" w:themeColor="text1" w:themeTint="A6"/>
      <w:spacing w:val="15"/>
      <w:lang w:val="es-ES" w:eastAsia="es-ES"/>
      <w14:textFill>
        <w14:solidFill>
          <w14:schemeClr w14:val="tx1">
            <w14:lumMod w14:val="65000"/>
            <w14:lumOff w14:val="35000"/>
          </w14:schemeClr>
        </w14:solidFill>
      </w14:textFill>
    </w:rPr>
  </w:style>
  <w:style w:type="character" w:customStyle="1" w:styleId="173">
    <w:name w:val="Encabezado Car1"/>
    <w:uiPriority w:val="99"/>
    <w:rPr>
      <w:sz w:val="24"/>
      <w:szCs w:val="24"/>
      <w:lang w:val="es-ES" w:eastAsia="es-ES"/>
    </w:rPr>
  </w:style>
  <w:style w:type="paragraph" w:customStyle="1" w:styleId="174">
    <w:name w:val="Texto independiente 31"/>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paragraph" w:customStyle="1" w:styleId="175">
    <w:name w:val="Body Text 21"/>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76">
    <w:name w:val="Body Text 31"/>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paragraph" w:customStyle="1" w:styleId="177">
    <w:name w:val="Body Text 22"/>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78">
    <w:name w:val="Body Text 32"/>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character" w:customStyle="1" w:styleId="179">
    <w:name w:val="Car Car2"/>
    <w:basedOn w:val="11"/>
    <w:uiPriority w:val="0"/>
    <w:rPr>
      <w:sz w:val="24"/>
      <w:szCs w:val="24"/>
      <w:lang w:eastAsia="es-ES" w:bidi="ar-SA"/>
    </w:rPr>
  </w:style>
  <w:style w:type="paragraph" w:customStyle="1" w:styleId="180">
    <w:name w:val="Body Text 23"/>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81">
    <w:name w:val="Body Text 33"/>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paragraph" w:customStyle="1" w:styleId="182">
    <w:name w:val="Texto independiente1"/>
    <w:uiPriority w:val="0"/>
    <w:pPr>
      <w:spacing w:after="0" w:line="240" w:lineRule="auto"/>
      <w:ind w:firstLine="283"/>
      <w:jc w:val="both"/>
    </w:pPr>
    <w:rPr>
      <w:rFonts w:ascii="Times New Roman" w:hAnsi="Times New Roman" w:eastAsia="Times New Roman" w:cs="Times New Roman"/>
      <w:color w:val="000000"/>
      <w:sz w:val="20"/>
      <w:szCs w:val="20"/>
      <w:lang w:eastAsia="es-ES" w:bidi="ar-SA"/>
    </w:rPr>
  </w:style>
  <w:style w:type="paragraph" w:customStyle="1" w:styleId="183">
    <w:name w:val="Texto independiente 22"/>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84">
    <w:name w:val="Texto independiente 32"/>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character" w:customStyle="1" w:styleId="185">
    <w:name w:val="Car Car21"/>
    <w:basedOn w:val="11"/>
    <w:uiPriority w:val="0"/>
    <w:rPr>
      <w:sz w:val="24"/>
      <w:szCs w:val="24"/>
      <w:lang w:eastAsia="es-ES" w:bidi="ar-SA"/>
    </w:rPr>
  </w:style>
  <w:style w:type="paragraph" w:customStyle="1" w:styleId="186">
    <w:name w:val="xl65"/>
    <w:basedOn w:val="1"/>
    <w:uiPriority w:val="0"/>
    <w:pPr>
      <w:spacing w:before="100" w:beforeAutospacing="1" w:after="100" w:afterAutospacing="1" w:line="240" w:lineRule="auto"/>
    </w:pPr>
    <w:rPr>
      <w:rFonts w:ascii="Arial" w:hAnsi="Arial" w:eastAsia="Times New Roman" w:cs="Arial"/>
      <w:sz w:val="16"/>
      <w:szCs w:val="16"/>
      <w:lang w:eastAsia="es-ES"/>
    </w:rPr>
  </w:style>
  <w:style w:type="paragraph" w:customStyle="1" w:styleId="187">
    <w:name w:val="xl66"/>
    <w:basedOn w:val="1"/>
    <w:uiPriority w:val="0"/>
    <w:pPr>
      <w:spacing w:before="100" w:beforeAutospacing="1" w:after="100" w:afterAutospacing="1" w:line="240" w:lineRule="auto"/>
      <w:jc w:val="right"/>
    </w:pPr>
    <w:rPr>
      <w:rFonts w:ascii="Arial" w:hAnsi="Arial" w:eastAsia="Times New Roman" w:cs="Arial"/>
      <w:sz w:val="16"/>
      <w:szCs w:val="16"/>
      <w:lang w:eastAsia="es-ES"/>
    </w:rPr>
  </w:style>
  <w:style w:type="character" w:customStyle="1" w:styleId="188">
    <w:name w:val="Car Car5"/>
    <w:basedOn w:val="11"/>
    <w:uiPriority w:val="0"/>
    <w:rPr>
      <w:sz w:val="24"/>
      <w:szCs w:val="24"/>
      <w:lang w:eastAsia="es-ES" w:bidi="ar-SA"/>
    </w:rPr>
  </w:style>
  <w:style w:type="paragraph" w:customStyle="1" w:styleId="189">
    <w:name w:val="Body Text 24"/>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90">
    <w:name w:val="Body Text 34"/>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paragraph" w:customStyle="1" w:styleId="191">
    <w:name w:val="xl25"/>
    <w:basedOn w:val="1"/>
    <w:uiPriority w:val="0"/>
    <w:pPr>
      <w:spacing w:before="100" w:beforeAutospacing="1" w:after="100" w:afterAutospacing="1" w:line="240" w:lineRule="auto"/>
      <w:jc w:val="right"/>
    </w:pPr>
    <w:rPr>
      <w:rFonts w:ascii="Arial" w:hAnsi="Arial" w:eastAsia="Times New Roman" w:cs="Arial"/>
      <w:sz w:val="16"/>
      <w:szCs w:val="16"/>
      <w:lang w:eastAsia="es-ES"/>
    </w:rPr>
  </w:style>
  <w:style w:type="character" w:customStyle="1" w:styleId="192">
    <w:name w:val="Car Car7"/>
    <w:basedOn w:val="11"/>
    <w:uiPriority w:val="0"/>
    <w:rPr>
      <w:rFonts w:ascii="Arial" w:hAnsi="Arial" w:cs="Arial"/>
      <w:b/>
      <w:bCs/>
      <w:sz w:val="18"/>
      <w:szCs w:val="18"/>
      <w:lang w:val="es-MX"/>
    </w:rPr>
  </w:style>
  <w:style w:type="paragraph" w:customStyle="1" w:styleId="193">
    <w:name w:val="Texto independiente 221"/>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194">
    <w:name w:val="Texto independiente 321"/>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character" w:customStyle="1" w:styleId="195">
    <w:name w:val="Car Car51"/>
    <w:basedOn w:val="11"/>
    <w:uiPriority w:val="0"/>
    <w:rPr>
      <w:sz w:val="24"/>
      <w:szCs w:val="24"/>
      <w:lang w:eastAsia="es-ES" w:bidi="ar-SA"/>
    </w:rPr>
  </w:style>
  <w:style w:type="character" w:customStyle="1" w:styleId="196">
    <w:name w:val="Car Car71"/>
    <w:basedOn w:val="11"/>
    <w:uiPriority w:val="0"/>
    <w:rPr>
      <w:rFonts w:ascii="Arial" w:hAnsi="Arial" w:cs="Arial"/>
      <w:b/>
      <w:bCs/>
      <w:sz w:val="18"/>
      <w:szCs w:val="18"/>
      <w:lang w:val="es-MX"/>
    </w:rPr>
  </w:style>
  <w:style w:type="paragraph" w:customStyle="1" w:styleId="197">
    <w:name w:val="xl69"/>
    <w:basedOn w:val="1"/>
    <w:uiPriority w:val="0"/>
    <w:pPr>
      <w:shd w:val="clear" w:color="000000" w:fill="FFFFFF"/>
      <w:spacing w:before="100" w:beforeAutospacing="1" w:after="100" w:afterAutospacing="1" w:line="240" w:lineRule="auto"/>
    </w:pPr>
    <w:rPr>
      <w:rFonts w:ascii="Times New Roman" w:hAnsi="Times New Roman" w:eastAsia="Times New Roman"/>
      <w:sz w:val="24"/>
      <w:szCs w:val="24"/>
      <w:lang w:val="es-MX" w:eastAsia="es-MX"/>
    </w:rPr>
  </w:style>
  <w:style w:type="paragraph" w:customStyle="1" w:styleId="198">
    <w:name w:val="xl70"/>
    <w:basedOn w:val="1"/>
    <w:uiPriority w:val="0"/>
    <w:pPr>
      <w:spacing w:before="100" w:beforeAutospacing="1" w:after="100" w:afterAutospacing="1" w:line="240" w:lineRule="auto"/>
      <w:jc w:val="center"/>
      <w:textAlignment w:val="top"/>
    </w:pPr>
    <w:rPr>
      <w:rFonts w:ascii="Arial" w:hAnsi="Arial" w:eastAsia="Times New Roman" w:cs="Arial"/>
      <w:i/>
      <w:iCs/>
      <w:color w:val="000000"/>
      <w:sz w:val="24"/>
      <w:szCs w:val="24"/>
      <w:lang w:val="es-MX" w:eastAsia="es-MX"/>
    </w:rPr>
  </w:style>
  <w:style w:type="paragraph" w:customStyle="1" w:styleId="199">
    <w:name w:val="Párrafo de lista2"/>
    <w:basedOn w:val="1"/>
    <w:uiPriority w:val="0"/>
    <w:pPr>
      <w:spacing w:after="0" w:line="240" w:lineRule="auto"/>
      <w:ind w:left="708"/>
    </w:pPr>
    <w:rPr>
      <w:rFonts w:ascii="Times New Roman" w:hAnsi="Times New Roman" w:eastAsia="Times New Roman"/>
      <w:sz w:val="24"/>
      <w:szCs w:val="24"/>
      <w:lang w:eastAsia="es-ES"/>
    </w:rPr>
  </w:style>
  <w:style w:type="paragraph" w:customStyle="1" w:styleId="200">
    <w:name w:val="Texto independiente 23"/>
    <w:basedOn w:val="1"/>
    <w:uiPriority w:val="0"/>
    <w:pPr>
      <w:overflowPunct w:val="0"/>
      <w:autoSpaceDE w:val="0"/>
      <w:autoSpaceDN w:val="0"/>
      <w:adjustRightInd w:val="0"/>
      <w:spacing w:after="0" w:line="240" w:lineRule="auto"/>
      <w:ind w:firstLine="2268"/>
      <w:jc w:val="both"/>
      <w:textAlignment w:val="baseline"/>
    </w:pPr>
    <w:rPr>
      <w:rFonts w:ascii="Arial" w:hAnsi="Arial" w:eastAsia="Times New Roman"/>
      <w:sz w:val="24"/>
      <w:szCs w:val="20"/>
      <w:lang w:eastAsia="es-MX"/>
    </w:rPr>
  </w:style>
  <w:style w:type="paragraph" w:customStyle="1" w:styleId="201">
    <w:name w:val="Texto independiente 33"/>
    <w:basedOn w:val="1"/>
    <w:uiPriority w:val="0"/>
    <w:pPr>
      <w:overflowPunct w:val="0"/>
      <w:autoSpaceDE w:val="0"/>
      <w:autoSpaceDN w:val="0"/>
      <w:adjustRightInd w:val="0"/>
      <w:spacing w:after="0" w:line="360" w:lineRule="auto"/>
      <w:jc w:val="both"/>
      <w:textAlignment w:val="baseline"/>
    </w:pPr>
    <w:rPr>
      <w:rFonts w:ascii="Tahoma" w:hAnsi="Tahoma" w:eastAsia="Times New Roman"/>
      <w:sz w:val="26"/>
      <w:szCs w:val="20"/>
      <w:lang w:val="es-MX" w:eastAsia="es-MX"/>
    </w:rPr>
  </w:style>
  <w:style w:type="paragraph" w:customStyle="1" w:styleId="202">
    <w:name w:val="xl38"/>
    <w:basedOn w:val="1"/>
    <w:uiPriority w:val="0"/>
    <w:pPr>
      <w:pBdr>
        <w:right w:val="single" w:color="auto" w:sz="4" w:space="0"/>
      </w:pBdr>
      <w:spacing w:before="100" w:beforeAutospacing="1" w:after="100" w:afterAutospacing="1" w:line="240" w:lineRule="auto"/>
      <w:jc w:val="both"/>
    </w:pPr>
    <w:rPr>
      <w:rFonts w:ascii="Times New Roman" w:hAnsi="Times New Roman" w:eastAsia="Arial Unicode MS"/>
      <w:sz w:val="24"/>
      <w:szCs w:val="24"/>
      <w:lang w:eastAsia="es-ES"/>
    </w:rPr>
  </w:style>
  <w:style w:type="character" w:customStyle="1" w:styleId="203">
    <w:name w:val="Texto de globo Car1"/>
    <w:basedOn w:val="11"/>
    <w:semiHidden/>
    <w:uiPriority w:val="99"/>
    <w:rPr>
      <w:rFonts w:ascii="Tahoma" w:hAnsi="Tahoma" w:eastAsia="Times New Roman" w:cs="Tahoma"/>
      <w:sz w:val="16"/>
      <w:szCs w:val="16"/>
      <w:lang w:eastAsia="es-MX"/>
    </w:rPr>
  </w:style>
  <w:style w:type="paragraph" w:customStyle="1" w:styleId="204">
    <w:name w:val="xl63"/>
    <w:basedOn w:val="1"/>
    <w:uiPriority w:val="0"/>
    <w:pPr>
      <w:pBdr>
        <w:top w:val="single" w:color="auto" w:sz="8" w:space="0"/>
        <w:bottom w:val="single" w:color="auto" w:sz="8" w:space="0"/>
      </w:pBdr>
      <w:shd w:val="clear" w:color="000000" w:fill="FFFFFF"/>
      <w:spacing w:before="100" w:beforeAutospacing="1" w:after="100" w:afterAutospacing="1" w:line="240" w:lineRule="auto"/>
      <w:jc w:val="center"/>
    </w:pPr>
    <w:rPr>
      <w:rFonts w:ascii="Arial Narrow" w:hAnsi="Arial Narrow" w:eastAsia="Times New Roman"/>
      <w:b/>
      <w:bCs/>
      <w:sz w:val="16"/>
      <w:szCs w:val="16"/>
      <w:lang w:val="es-MX" w:eastAsia="es-MX"/>
    </w:rPr>
  </w:style>
  <w:style w:type="paragraph" w:customStyle="1" w:styleId="205">
    <w:name w:val="xl64"/>
    <w:basedOn w:val="1"/>
    <w:uiPriority w:val="0"/>
    <w:pPr>
      <w:pBdr>
        <w:top w:val="single" w:color="auto" w:sz="8" w:space="0"/>
        <w:bottom w:val="single" w:color="auto" w:sz="8" w:space="0"/>
      </w:pBdr>
      <w:shd w:val="clear" w:color="000000" w:fill="FFFFFF"/>
      <w:spacing w:before="100" w:beforeAutospacing="1" w:after="100" w:afterAutospacing="1" w:line="240" w:lineRule="auto"/>
      <w:jc w:val="center"/>
    </w:pPr>
    <w:rPr>
      <w:rFonts w:ascii="Arial Narrow" w:hAnsi="Arial Narrow" w:eastAsia="Times New Roman"/>
      <w:i/>
      <w:iCs/>
      <w:sz w:val="16"/>
      <w:szCs w:val="16"/>
      <w:lang w:val="es-MX" w:eastAsia="es-MX"/>
    </w:rPr>
  </w:style>
  <w:style w:type="paragraph" w:customStyle="1" w:styleId="206">
    <w:name w:val="xl67"/>
    <w:basedOn w:val="1"/>
    <w:uiPriority w:val="0"/>
    <w:pPr>
      <w:spacing w:before="100" w:beforeAutospacing="1" w:after="100" w:afterAutospacing="1" w:line="240" w:lineRule="auto"/>
      <w:jc w:val="center"/>
    </w:pPr>
    <w:rPr>
      <w:rFonts w:ascii="Arial Narrow" w:hAnsi="Arial Narrow" w:eastAsia="Times New Roman"/>
      <w:sz w:val="16"/>
      <w:szCs w:val="16"/>
      <w:lang w:val="es-MX" w:eastAsia="es-MX"/>
    </w:rPr>
  </w:style>
  <w:style w:type="paragraph" w:customStyle="1" w:styleId="207">
    <w:name w:val="xl68"/>
    <w:basedOn w:val="1"/>
    <w:uiPriority w:val="0"/>
    <w:pPr>
      <w:spacing w:before="100" w:beforeAutospacing="1" w:after="100" w:afterAutospacing="1" w:line="240" w:lineRule="auto"/>
      <w:jc w:val="right"/>
    </w:pPr>
    <w:rPr>
      <w:rFonts w:ascii="Arial Narrow" w:hAnsi="Arial Narrow" w:eastAsia="Times New Roman"/>
      <w:sz w:val="16"/>
      <w:szCs w:val="16"/>
      <w:lang w:val="es-MX" w:eastAsia="es-MX"/>
    </w:rPr>
  </w:style>
  <w:style w:type="paragraph" w:customStyle="1" w:styleId="208">
    <w:name w:val="Texto independiente11"/>
    <w:uiPriority w:val="0"/>
    <w:pPr>
      <w:spacing w:after="0" w:line="240" w:lineRule="auto"/>
      <w:ind w:firstLine="283"/>
      <w:jc w:val="both"/>
    </w:pPr>
    <w:rPr>
      <w:rFonts w:ascii="Times New Roman" w:hAnsi="Times New Roman" w:eastAsia="Times New Roman" w:cs="Times New Roman"/>
      <w:color w:val="000000"/>
      <w:sz w:val="20"/>
      <w:szCs w:val="20"/>
      <w:lang w:eastAsia="es-ES" w:bidi="ar-SA"/>
    </w:rPr>
  </w:style>
  <w:style w:type="paragraph" w:customStyle="1" w:styleId="209">
    <w:name w:val="Revision"/>
    <w:hidden/>
    <w:semiHidden/>
    <w:uiPriority w:val="99"/>
    <w:pPr>
      <w:spacing w:after="0" w:line="240" w:lineRule="auto"/>
    </w:pPr>
    <w:rPr>
      <w:rFonts w:ascii="Times New Roman" w:hAnsi="Times New Roman" w:eastAsia="Times New Roman" w:cs="Times New Roman"/>
      <w:sz w:val="24"/>
      <w:szCs w:val="24"/>
      <w:lang w:val="es-ES" w:eastAsia="es-ES" w:bidi="ar-SA"/>
    </w:rPr>
  </w:style>
  <w:style w:type="paragraph" w:styleId="210">
    <w:name w:val="Quote"/>
    <w:basedOn w:val="1"/>
    <w:next w:val="1"/>
    <w:link w:val="211"/>
    <w:qFormat/>
    <w:uiPriority w:val="0"/>
    <w:pPr>
      <w:spacing w:after="0" w:line="240" w:lineRule="auto"/>
    </w:pPr>
    <w:rPr>
      <w:rFonts w:ascii="Times New Roman" w:hAnsi="Times New Roman" w:eastAsia="Times New Roman"/>
      <w:i/>
      <w:iCs/>
      <w:sz w:val="24"/>
      <w:szCs w:val="24"/>
      <w:lang w:val="es-MX" w:eastAsia="es-ES"/>
    </w:rPr>
  </w:style>
  <w:style w:type="character" w:customStyle="1" w:styleId="211">
    <w:name w:val="Cita Car"/>
    <w:basedOn w:val="11"/>
    <w:link w:val="210"/>
    <w:uiPriority w:val="0"/>
    <w:rPr>
      <w:rFonts w:ascii="Times New Roman" w:hAnsi="Times New Roman" w:eastAsia="Times New Roman" w:cs="Times New Roman"/>
      <w:i/>
      <w:iCs/>
      <w:sz w:val="24"/>
      <w:szCs w:val="24"/>
      <w:lang w:eastAsia="es-ES"/>
    </w:rPr>
  </w:style>
  <w:style w:type="paragraph" w:customStyle="1" w:styleId="212">
    <w:name w:val="xl30"/>
    <w:basedOn w:val="1"/>
    <w:uiPriority w:val="0"/>
    <w:pPr>
      <w:spacing w:before="100" w:beforeAutospacing="1" w:after="100" w:afterAutospacing="1" w:line="240" w:lineRule="auto"/>
      <w:jc w:val="center"/>
      <w:textAlignment w:val="center"/>
    </w:pPr>
    <w:rPr>
      <w:rFonts w:ascii="Arial" w:hAnsi="Arial" w:eastAsia="Arial Unicode MS" w:cs="Arial"/>
      <w:b/>
      <w:bCs/>
      <w:sz w:val="24"/>
      <w:szCs w:val="24"/>
      <w:lang w:eastAsia="es-ES"/>
    </w:rPr>
  </w:style>
  <w:style w:type="table" w:customStyle="1" w:styleId="213">
    <w:name w:val="TableGrid"/>
    <w:uiPriority w:val="0"/>
    <w:pPr>
      <w:spacing w:after="0" w:line="240" w:lineRule="auto"/>
    </w:pPr>
    <w:rPr>
      <w:rFonts w:eastAsia="Times New Roman"/>
      <w:lang w:eastAsia="es-MX"/>
    </w:rPr>
    <w:tblPr>
      <w:tblCellMar>
        <w:top w:w="0" w:type="dxa"/>
        <w:left w:w="0" w:type="dxa"/>
        <w:bottom w:w="0" w:type="dxa"/>
        <w:right w:w="0" w:type="dxa"/>
      </w:tblCellMar>
    </w:tblPr>
  </w:style>
  <w:style w:type="paragraph" w:customStyle="1" w:styleId="214">
    <w:name w:val="Texto"/>
    <w:basedOn w:val="1"/>
    <w:link w:val="215"/>
    <w:qFormat/>
    <w:uiPriority w:val="0"/>
    <w:pPr>
      <w:spacing w:after="101" w:line="216" w:lineRule="exact"/>
      <w:ind w:firstLine="288"/>
      <w:jc w:val="both"/>
    </w:pPr>
    <w:rPr>
      <w:rFonts w:ascii="Arial" w:hAnsi="Arial" w:eastAsia="Times New Roman" w:cs="Arial"/>
      <w:sz w:val="18"/>
      <w:szCs w:val="20"/>
      <w:lang w:eastAsia="es-ES"/>
    </w:rPr>
  </w:style>
  <w:style w:type="character" w:customStyle="1" w:styleId="215">
    <w:name w:val="Texto Car"/>
    <w:link w:val="214"/>
    <w:locked/>
    <w:uiPriority w:val="0"/>
    <w:rPr>
      <w:rFonts w:ascii="Arial" w:hAnsi="Arial" w:eastAsia="Times New Roman" w:cs="Arial"/>
      <w:sz w:val="18"/>
      <w:szCs w:val="20"/>
      <w:lang w:val="es-ES" w:eastAsia="es-ES"/>
    </w:rPr>
  </w:style>
  <w:style w:type="table" w:customStyle="1" w:styleId="216">
    <w:name w:val="Tabla con cuadrícula1"/>
    <w:basedOn w:val="12"/>
    <w:uiPriority w:val="59"/>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
    <w:name w:val="TableGrid1"/>
    <w:uiPriority w:val="0"/>
    <w:pPr>
      <w:spacing w:after="0" w:line="240" w:lineRule="auto"/>
    </w:pPr>
    <w:rPr>
      <w:rFonts w:eastAsia="Times New Roman"/>
      <w:lang w:eastAsia="es-MX"/>
    </w:rPr>
    <w:tblPr>
      <w:tblCellMar>
        <w:top w:w="0" w:type="dxa"/>
        <w:left w:w="0" w:type="dxa"/>
        <w:bottom w:w="0" w:type="dxa"/>
        <w:right w:w="0" w:type="dxa"/>
      </w:tblCellMar>
    </w:tblPr>
  </w:style>
  <w:style w:type="table" w:customStyle="1" w:styleId="218">
    <w:name w:val="Tabla con cuadrícula2"/>
    <w:basedOn w:val="12"/>
    <w:uiPriority w:val="59"/>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
    <w:name w:val="TableGrid2"/>
    <w:uiPriority w:val="0"/>
    <w:pPr>
      <w:spacing w:after="0" w:line="240" w:lineRule="auto"/>
    </w:pPr>
    <w:rPr>
      <w:rFonts w:eastAsia="Times New Roman"/>
      <w:lang w:eastAsia="es-MX"/>
    </w:rPr>
    <w:tblPr>
      <w:tblCellMar>
        <w:top w:w="0" w:type="dxa"/>
        <w:left w:w="0" w:type="dxa"/>
        <w:bottom w:w="0" w:type="dxa"/>
        <w:right w:w="0" w:type="dxa"/>
      </w:tblCellMar>
    </w:tblPr>
  </w:style>
  <w:style w:type="table" w:customStyle="1" w:styleId="220">
    <w:name w:val="Tabla con cuadrícula3"/>
    <w:basedOn w:val="12"/>
    <w:uiPriority w:val="59"/>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
    <w:name w:val="TableGrid3"/>
    <w:uiPriority w:val="0"/>
    <w:pPr>
      <w:spacing w:after="0" w:line="240" w:lineRule="auto"/>
    </w:pPr>
    <w:rPr>
      <w:rFonts w:eastAsia="Times New Roman"/>
      <w:lang w:eastAsia="es-MX"/>
    </w:rPr>
    <w:tblPr>
      <w:tblCellMar>
        <w:top w:w="0" w:type="dxa"/>
        <w:left w:w="0" w:type="dxa"/>
        <w:bottom w:w="0" w:type="dxa"/>
        <w:right w:w="0" w:type="dxa"/>
      </w:tblCellMar>
    </w:tblPr>
  </w:style>
  <w:style w:type="character" w:customStyle="1" w:styleId="222">
    <w:name w:val="10"/>
    <w:uiPriority w:val="0"/>
    <w:rPr>
      <w:rFonts w:hint="default" w:ascii="Times New Roman" w:hAnsi="Times New Roman" w:cs="Times New Roman"/>
    </w:rPr>
  </w:style>
  <w:style w:type="character" w:customStyle="1" w:styleId="223">
    <w:name w:val="15"/>
    <w:uiPriority w:val="0"/>
    <w:rPr>
      <w:rFonts w:hint="default" w:ascii="Times New Roman" w:hAnsi="Times New Roman" w:cs="Times New Roman"/>
      <w:b/>
    </w:rPr>
  </w:style>
  <w:style w:type="character" w:customStyle="1" w:styleId="224">
    <w:name w:val="HTML con formato previo Car"/>
    <w:basedOn w:val="11"/>
    <w:link w:val="29"/>
    <w:uiPriority w:val="0"/>
    <w:rPr>
      <w:rFonts w:ascii="Courier New" w:hAnsi="Courier New" w:eastAsia="SimSun" w:cs="Times New Roman"/>
      <w:sz w:val="20"/>
      <w:szCs w:val="20"/>
      <w:lang w:val="en-US" w:eastAsia="zh-CN"/>
    </w:rPr>
  </w:style>
  <w:style w:type="paragraph" w:customStyle="1" w:styleId="225">
    <w:name w:val="p Char"/>
    <w:uiPriority w:val="0"/>
    <w:pPr>
      <w:spacing w:before="100" w:beforeAutospacing="1" w:after="100" w:afterAutospacing="1" w:line="240" w:lineRule="auto"/>
    </w:pPr>
    <w:rPr>
      <w:rFonts w:ascii="Arial" w:hAnsi="Arial" w:eastAsia="SimSun" w:cs="Times New Roman"/>
      <w:sz w:val="24"/>
      <w:szCs w:val="24"/>
      <w:lang w:val="en-US" w:eastAsia="zh-CN" w:bidi="ar-SA"/>
    </w:rPr>
  </w:style>
  <w:style w:type="paragraph" w:customStyle="1" w:styleId="226">
    <w:name w:val="HTML Preformatted Char"/>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SimSun" w:cs="Times New Roman"/>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lantilla%20Ley%20de%20Ingres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8"/>
    <customShpInfo spid="_x0000_s2057"/>
    <customShpInfo spid="_x0000_s2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797E2-8EE3-4DDC-BC13-5D7297850255}">
  <ds:schemaRefs/>
</ds:datastoreItem>
</file>

<file path=docProps/app.xml><?xml version="1.0" encoding="utf-8"?>
<Properties xmlns="http://schemas.openxmlformats.org/officeDocument/2006/extended-properties" xmlns:vt="http://schemas.openxmlformats.org/officeDocument/2006/docPropsVTypes">
  <Template>Plantilla Ley de Ingresos</Template>
  <Pages>1</Pages>
  <Words>23527</Words>
  <Characters>129400</Characters>
  <Lines>1078</Lines>
  <Paragraphs>305</Paragraphs>
  <TotalTime>64</TotalTime>
  <ScaleCrop>false</ScaleCrop>
  <LinksUpToDate>false</LinksUpToDate>
  <CharactersWithSpaces>152622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2021-01-05T08:14:00Z</dcterms:created>
  <dc:creator>INSTITUTO DE INVESTIGACIONES LEGISLATIVAS</dc:creator>
  <cp:lastModifiedBy>Laura Tellez</cp:lastModifiedBy>
  <cp:lastPrinted>2021-01-08T09:21:00Z</cp:lastPrinted>
  <dcterms:modified xsi:type="dcterms:W3CDTF">2021-03-03T18:16:21Z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