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940B9D" w:rsidP="00CB41C4">
      <w:pPr>
        <w:tabs>
          <w:tab w:val="left" w:leader="underscore" w:pos="9639"/>
        </w:tabs>
        <w:spacing w:after="0" w:line="240" w:lineRule="auto"/>
        <w:jc w:val="center"/>
        <w:rPr>
          <w:rFonts w:cs="Calibri"/>
          <w:b/>
          <w:sz w:val="28"/>
          <w:szCs w:val="28"/>
        </w:rPr>
      </w:pPr>
      <w:r>
        <w:fldChar w:fldCharType="begin"/>
      </w:r>
      <w:r w:rsidR="00FE62C4">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940B9D">
          <w:pPr>
            <w:pStyle w:val="TDC2"/>
            <w:tabs>
              <w:tab w:val="right" w:leader="dot" w:pos="9678"/>
            </w:tabs>
            <w:rPr>
              <w:noProof/>
            </w:rPr>
          </w:pPr>
          <w:r w:rsidRPr="00940B9D">
            <w:fldChar w:fldCharType="begin"/>
          </w:r>
          <w:r w:rsidR="00F46719">
            <w:instrText xml:space="preserve"> TOC \o "1-3" \h \z \u </w:instrText>
          </w:r>
          <w:r w:rsidRPr="00940B9D">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940B9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940B9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940B9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940B9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940B9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940B9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37377">
              <w:rPr>
                <w:noProof/>
                <w:webHidden/>
              </w:rPr>
              <w:t>5</w:t>
            </w:r>
            <w:r>
              <w:rPr>
                <w:noProof/>
                <w:webHidden/>
              </w:rPr>
              <w:fldChar w:fldCharType="end"/>
            </w:r>
          </w:hyperlink>
        </w:p>
        <w:p w:rsidR="00F46719" w:rsidRDefault="00940B9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37377">
              <w:rPr>
                <w:noProof/>
                <w:webHidden/>
              </w:rPr>
              <w:t>6</w:t>
            </w:r>
            <w:r>
              <w:rPr>
                <w:noProof/>
                <w:webHidden/>
              </w:rPr>
              <w:fldChar w:fldCharType="end"/>
            </w:r>
          </w:hyperlink>
        </w:p>
        <w:p w:rsidR="00F46719" w:rsidRDefault="00940B9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940B9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940B9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940B9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940B9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940B9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940B9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940B9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940B9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940B9D">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w:t>
      </w:r>
      <w:r w:rsidR="009F2E66">
        <w:rPr>
          <w:rFonts w:ascii="Times New Roman" w:hAnsi="Times New Roman"/>
          <w:sz w:val="24"/>
          <w:szCs w:val="24"/>
        </w:rPr>
        <w:t>Se creó una Nueva oficina Desarrollo de  personal de la cual dependerá de Presidencia Municipal.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imuvim</w:t>
      </w:r>
      <w:proofErr w:type="spellEnd"/>
      <w:r>
        <w:rPr>
          <w:rFonts w:ascii="Times New Roman" w:hAnsi="Times New Roman"/>
          <w:sz w:val="24"/>
          <w:szCs w:val="24"/>
        </w:rPr>
        <w:t>.</w:t>
      </w:r>
      <w:r w:rsidR="009F2E66">
        <w:rPr>
          <w:rFonts w:ascii="Times New Roman" w:hAnsi="Times New Roman"/>
          <w:sz w:val="24"/>
          <w:szCs w:val="24"/>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F2E66">
        <w:rPr>
          <w:rFonts w:ascii="Times New Roman" w:hAnsi="Times New Roman"/>
          <w:sz w:val="24"/>
          <w:szCs w:val="24"/>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695158" w:rsidP="00695158">
      <w:pPr>
        <w:tabs>
          <w:tab w:val="left" w:leader="underscore" w:pos="9639"/>
        </w:tabs>
        <w:spacing w:after="0" w:line="240" w:lineRule="auto"/>
        <w:jc w:val="both"/>
        <w:rPr>
          <w:rFonts w:cs="Calibri"/>
        </w:rPr>
      </w:pPr>
      <w:bookmarkStart w:id="4" w:name="_GoBack"/>
      <w:bookmarkEnd w:id="4"/>
      <w:r>
        <w:rPr>
          <w:rFonts w:cs="Calibri"/>
          <w:noProof/>
          <w:lang w:eastAsia="es-MX"/>
        </w:rPr>
        <w:drawing>
          <wp:inline distT="0" distB="0" distL="0" distR="0">
            <wp:extent cx="6743700" cy="447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951" t="20619" r="20196" b="5412"/>
                    <a:stretch>
                      <a:fillRect/>
                    </a:stretch>
                  </pic:blipFill>
                  <pic:spPr bwMode="auto">
                    <a:xfrm>
                      <a:off x="0" y="0"/>
                      <a:ext cx="6743700" cy="4476750"/>
                    </a:xfrm>
                    <a:prstGeom prst="rect">
                      <a:avLst/>
                    </a:prstGeom>
                    <a:noFill/>
                    <a:ln w="9525">
                      <a:noFill/>
                      <a:miter lim="800000"/>
                      <a:headEnd/>
                      <a:tailEnd/>
                    </a:ln>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w:t>
      </w:r>
      <w:proofErr w:type="gramStart"/>
      <w:r w:rsidRPr="00F65D65">
        <w:rPr>
          <w:rFonts w:cs="Calibri"/>
        </w:rPr>
        <w:t>,200,000.00</w:t>
      </w:r>
      <w:proofErr w:type="gramEnd"/>
      <w:r w:rsidRPr="00F65D65">
        <w:rPr>
          <w:rFonts w:cs="Calibri"/>
        </w:rPr>
        <w:t>,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w:t>
      </w:r>
      <w:proofErr w:type="gramStart"/>
      <w:r w:rsidRPr="00F65D65">
        <w:rPr>
          <w:rFonts w:cs="Calibri"/>
        </w:rPr>
        <w:t>,000,000.00</w:t>
      </w:r>
      <w:proofErr w:type="gramEnd"/>
      <w:r w:rsidRPr="00F65D65">
        <w:rPr>
          <w:rFonts w:cs="Calibri"/>
        </w:rPr>
        <w:t>,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95" w:rsidRDefault="00881A95" w:rsidP="00E00323">
      <w:pPr>
        <w:spacing w:after="0" w:line="240" w:lineRule="auto"/>
      </w:pPr>
      <w:r>
        <w:separator/>
      </w:r>
    </w:p>
  </w:endnote>
  <w:endnote w:type="continuationSeparator" w:id="0">
    <w:p w:rsidR="00881A95" w:rsidRDefault="00881A95"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940B9D">
        <w:pPr>
          <w:pStyle w:val="Piedepgina"/>
          <w:jc w:val="right"/>
        </w:pPr>
        <w:r>
          <w:fldChar w:fldCharType="begin"/>
        </w:r>
        <w:r w:rsidR="0012405A">
          <w:instrText>PAGE   \* MERGEFORMAT</w:instrText>
        </w:r>
        <w:r>
          <w:fldChar w:fldCharType="separate"/>
        </w:r>
        <w:r w:rsidR="00C04EDF" w:rsidRPr="00C04EDF">
          <w:rPr>
            <w:noProof/>
            <w:lang w:val="es-ES"/>
          </w:rPr>
          <w:t>8</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95" w:rsidRDefault="00881A95" w:rsidP="00E00323">
      <w:pPr>
        <w:spacing w:after="0" w:line="240" w:lineRule="auto"/>
      </w:pPr>
      <w:r>
        <w:separator/>
      </w:r>
    </w:p>
  </w:footnote>
  <w:footnote w:type="continuationSeparator" w:id="0">
    <w:p w:rsidR="00881A95" w:rsidRDefault="00881A95"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C04EDF">
      <w:t>2DO</w:t>
    </w:r>
    <w:r w:rsidR="00DF7E53">
      <w:t xml:space="preserve"> TRIMESTRE </w:t>
    </w:r>
    <w:r>
      <w:t>20</w:t>
    </w:r>
    <w:r w:rsidR="000C7A0E">
      <w:t>2</w:t>
    </w:r>
    <w:r w:rsidR="00F37377">
      <w:t>2</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0418"/>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5155"/>
    <w:rsid w:val="00306A48"/>
    <w:rsid w:val="003453CA"/>
    <w:rsid w:val="00347A5B"/>
    <w:rsid w:val="003B1B14"/>
    <w:rsid w:val="003E76A9"/>
    <w:rsid w:val="00435A87"/>
    <w:rsid w:val="004878E2"/>
    <w:rsid w:val="004A58C8"/>
    <w:rsid w:val="0054701E"/>
    <w:rsid w:val="005C4B7D"/>
    <w:rsid w:val="005D3E43"/>
    <w:rsid w:val="005E231E"/>
    <w:rsid w:val="00637126"/>
    <w:rsid w:val="00657009"/>
    <w:rsid w:val="00681C79"/>
    <w:rsid w:val="00695158"/>
    <w:rsid w:val="006F37BF"/>
    <w:rsid w:val="006F5925"/>
    <w:rsid w:val="007046EF"/>
    <w:rsid w:val="00754AC3"/>
    <w:rsid w:val="007610BC"/>
    <w:rsid w:val="007714AB"/>
    <w:rsid w:val="007813C4"/>
    <w:rsid w:val="007D1E76"/>
    <w:rsid w:val="007D4484"/>
    <w:rsid w:val="007F3749"/>
    <w:rsid w:val="00844D57"/>
    <w:rsid w:val="0086459F"/>
    <w:rsid w:val="00881A95"/>
    <w:rsid w:val="008832C7"/>
    <w:rsid w:val="00883357"/>
    <w:rsid w:val="008C3BB8"/>
    <w:rsid w:val="008E076C"/>
    <w:rsid w:val="0092765C"/>
    <w:rsid w:val="00940B9D"/>
    <w:rsid w:val="00970957"/>
    <w:rsid w:val="009C4CCF"/>
    <w:rsid w:val="009E76C0"/>
    <w:rsid w:val="009F2E66"/>
    <w:rsid w:val="00A4610E"/>
    <w:rsid w:val="00A730E0"/>
    <w:rsid w:val="00A828FC"/>
    <w:rsid w:val="00AA41E5"/>
    <w:rsid w:val="00AB722B"/>
    <w:rsid w:val="00AE1F6A"/>
    <w:rsid w:val="00B52674"/>
    <w:rsid w:val="00B7255B"/>
    <w:rsid w:val="00B85C5A"/>
    <w:rsid w:val="00C04EDF"/>
    <w:rsid w:val="00C140F9"/>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0D9F0A6-7D74-4C61-9D3C-384F3EF8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40</cp:revision>
  <cp:lastPrinted>2022-04-26T17:08:00Z</cp:lastPrinted>
  <dcterms:created xsi:type="dcterms:W3CDTF">2017-01-12T05:27:00Z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