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7776DB" w14:textId="6A83EF7F" w:rsidR="007D1E76" w:rsidRPr="00E74967" w:rsidRDefault="00F947DB" w:rsidP="00CB41C4">
      <w:pPr>
        <w:tabs>
          <w:tab w:val="left" w:leader="underscore" w:pos="9639"/>
        </w:tabs>
        <w:spacing w:after="0" w:line="240" w:lineRule="auto"/>
        <w:jc w:val="center"/>
        <w:rPr>
          <w:rFonts w:cs="Calibri"/>
          <w:b/>
          <w:sz w:val="28"/>
          <w:szCs w:val="28"/>
        </w:rPr>
      </w:pPr>
      <w:r>
        <w:rPr>
          <w:rStyle w:val="Hipervnculo"/>
          <w:rFonts w:cs="Calibri"/>
          <w:b/>
          <w:sz w:val="28"/>
          <w:szCs w:val="28"/>
        </w:rPr>
        <w:fldChar w:fldCharType="begin"/>
      </w:r>
      <w:r>
        <w:rPr>
          <w:rStyle w:val="Hipervnculo"/>
          <w:rFonts w:cs="Calibri"/>
          <w:b/>
          <w:sz w:val="28"/>
          <w:szCs w:val="28"/>
        </w:rPr>
        <w:instrText xml:space="preserve"> HYPERLINK "file:///C:/Users/acorona/lquiroz/AppData/Local/Microsoft/Windows/Temporary%20Internet%20Files/Content.Outlook/HBGSO9P3/MODELO%20CTA%202013.pptx" </w:instrText>
      </w:r>
      <w:r>
        <w:rPr>
          <w:rStyle w:val="Hipervnculo"/>
          <w:rFonts w:cs="Calibri"/>
          <w:b/>
          <w:sz w:val="28"/>
          <w:szCs w:val="28"/>
        </w:rPr>
        <w:fldChar w:fldCharType="separate"/>
      </w:r>
      <w:r w:rsidR="007D1E76" w:rsidRPr="00E74967">
        <w:rPr>
          <w:rStyle w:val="Hipervnculo"/>
          <w:rFonts w:cs="Calibri"/>
          <w:b/>
          <w:sz w:val="28"/>
          <w:szCs w:val="28"/>
        </w:rPr>
        <w:t>NOTAS DE GESTIÓN ADMINISTRATIV</w:t>
      </w:r>
      <w:r>
        <w:rPr>
          <w:rStyle w:val="Hipervnculo"/>
          <w:rFonts w:cs="Calibri"/>
          <w:b/>
          <w:sz w:val="28"/>
          <w:szCs w:val="28"/>
        </w:rPr>
        <w:fldChar w:fldCharType="end"/>
      </w:r>
      <w:r w:rsidR="0000654B">
        <w:rPr>
          <w:rStyle w:val="Hipervnculo"/>
          <w:rFonts w:cs="Calibri"/>
          <w:b/>
          <w:sz w:val="28"/>
          <w:szCs w:val="28"/>
        </w:rPr>
        <w:t>A</w:t>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947DB">
              <w:rPr>
                <w:noProof/>
                <w:webHidden/>
              </w:rPr>
              <w:t>1</w:t>
            </w:r>
            <w:r>
              <w:rPr>
                <w:noProof/>
                <w:webHidden/>
              </w:rPr>
              <w:fldChar w:fldCharType="end"/>
            </w:r>
          </w:hyperlink>
        </w:p>
        <w:p w14:paraId="47CC41D1" w14:textId="221EBD42" w:rsidR="00F46719" w:rsidRDefault="00F947D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205BF1A" w14:textId="75F9B70C" w:rsidR="00F46719" w:rsidRDefault="00F947D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181098F" w14:textId="4E1C5026" w:rsidR="00F46719" w:rsidRDefault="00F947D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E5886DF" w14:textId="35B70874" w:rsidR="00F46719" w:rsidRDefault="00F947D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14:paraId="653AF446" w14:textId="2C9BE871" w:rsidR="00F46719" w:rsidRDefault="00F947D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Pr>
                <w:noProof/>
                <w:webHidden/>
              </w:rPr>
              <w:t>4</w:t>
            </w:r>
            <w:r w:rsidR="00F46719">
              <w:rPr>
                <w:noProof/>
                <w:webHidden/>
              </w:rPr>
              <w:fldChar w:fldCharType="end"/>
            </w:r>
          </w:hyperlink>
        </w:p>
        <w:p w14:paraId="21BA046A" w14:textId="37DC928C" w:rsidR="00F46719" w:rsidRDefault="00F947D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Pr>
                <w:noProof/>
                <w:webHidden/>
              </w:rPr>
              <w:t>5</w:t>
            </w:r>
            <w:r w:rsidR="00F46719">
              <w:rPr>
                <w:noProof/>
                <w:webHidden/>
              </w:rPr>
              <w:fldChar w:fldCharType="end"/>
            </w:r>
          </w:hyperlink>
        </w:p>
        <w:p w14:paraId="784807F5" w14:textId="0B009106" w:rsidR="00F46719" w:rsidRDefault="00F947D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14:paraId="7E663DB5" w14:textId="180385E7" w:rsidR="00F46719" w:rsidRDefault="00F947D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335A44C3" w14:textId="015548D8" w:rsidR="00F46719" w:rsidRDefault="00F947D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290CB7FF" w14:textId="1E90990E" w:rsidR="00F46719" w:rsidRDefault="00F947D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67FB6C3B" w14:textId="0410ED3E" w:rsidR="00F46719" w:rsidRDefault="00F947D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3373EEEC" w14:textId="43E71DEC" w:rsidR="00F46719" w:rsidRDefault="00F947D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14:paraId="01A1A543" w14:textId="550A878F" w:rsidR="00F46719" w:rsidRDefault="00F947D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14:paraId="314DA06E" w14:textId="7545E7CB" w:rsidR="00F46719" w:rsidRDefault="00F947D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14:paraId="0A10726F" w14:textId="06066D8D" w:rsidR="00F46719" w:rsidRDefault="00F947D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14:paraId="3402BC77" w14:textId="4E425D78" w:rsidR="00F46719" w:rsidRDefault="00F947D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72A9F87D" w:rsidR="007D1E76" w:rsidRPr="00E74967" w:rsidRDefault="00C662B3" w:rsidP="00CB41C4">
      <w:pPr>
        <w:tabs>
          <w:tab w:val="left" w:leader="underscore" w:pos="9639"/>
        </w:tabs>
        <w:spacing w:after="0" w:line="240" w:lineRule="auto"/>
        <w:jc w:val="both"/>
        <w:rPr>
          <w:rFonts w:cs="Calibri"/>
        </w:rPr>
      </w:pPr>
      <w:r w:rsidRPr="006230BB">
        <w:rPr>
          <w:rFonts w:ascii="Arial" w:eastAsia="Times New Roman" w:hAnsi="Arial" w:cs="Arial"/>
          <w:sz w:val="20"/>
          <w:szCs w:val="20"/>
          <w:u w:val="single"/>
          <w:lang w:eastAsia="es-MX"/>
        </w:rPr>
        <w:t>Apoyar a las familias que cuenten con un lote o vivienda de su propiedad, para que tengan acceso a un crédito que les permita iniciar, mejorar, ampliar  o rehabilitar su vivienda; dando con ello oportunidad  a  consolidar  el patrimonio familiar, lo que les permitirá incrementar su calidad de vida a través de una vivienda con mejores condiciones, así como la convivencia sana y amable</w:t>
      </w:r>
      <w:r w:rsidRPr="00E74967">
        <w:rPr>
          <w:rFonts w:cs="Calibri"/>
        </w:rPr>
        <w:t>___</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1CB903E" w14:textId="77777777" w:rsidR="00C662B3" w:rsidRPr="006230BB" w:rsidRDefault="00C662B3" w:rsidP="00C662B3">
      <w:pPr>
        <w:spacing w:after="0" w:line="240" w:lineRule="auto"/>
        <w:rPr>
          <w:rFonts w:cs="Calibri"/>
          <w:u w:val="single"/>
        </w:rPr>
      </w:pPr>
      <w:r w:rsidRPr="006230BB">
        <w:rPr>
          <w:rFonts w:cs="Calibri"/>
          <w:u w:val="single"/>
        </w:rPr>
        <w:t>El Instituto Municipal de Vivienda de Moroleón, Gto., anteriormente al año 2014 estuvo operando bajo recursos propios obtenidos de la venta de terrenos de su propiedad, o el pago por trámites de regularización de asentamientos humanos.</w:t>
      </w:r>
    </w:p>
    <w:p w14:paraId="19695472" w14:textId="34F3F3CB" w:rsidR="00C662B3" w:rsidRPr="006230BB" w:rsidRDefault="00C662B3" w:rsidP="00C662B3">
      <w:pPr>
        <w:spacing w:after="0" w:line="240" w:lineRule="auto"/>
        <w:rPr>
          <w:rFonts w:cs="Calibri"/>
          <w:u w:val="single"/>
        </w:rPr>
      </w:pPr>
      <w:r w:rsidRPr="006230BB">
        <w:rPr>
          <w:rFonts w:cs="Calibri"/>
          <w:u w:val="single"/>
        </w:rPr>
        <w:t>A partir del año 2014 y hasta la fecha,  depende económicamente del Gobierno Municipal, el cual le otorga un  Subsidio de manera mensual por la cantidad de $2</w:t>
      </w:r>
      <w:r w:rsidR="0029467A">
        <w:rPr>
          <w:rFonts w:cs="Calibri"/>
          <w:u w:val="single"/>
        </w:rPr>
        <w:t>8</w:t>
      </w:r>
      <w:r w:rsidRPr="006230BB">
        <w:rPr>
          <w:rFonts w:cs="Calibri"/>
          <w:u w:val="single"/>
        </w:rPr>
        <w:t>,</w:t>
      </w:r>
      <w:r w:rsidR="0029467A">
        <w:rPr>
          <w:rFonts w:cs="Calibri"/>
          <w:u w:val="single"/>
        </w:rPr>
        <w:t>965.25</w:t>
      </w:r>
      <w:r w:rsidRPr="006230BB">
        <w:rPr>
          <w:rFonts w:cs="Calibri"/>
          <w:u w:val="single"/>
        </w:rPr>
        <w:t>.00 (</w:t>
      </w:r>
      <w:r w:rsidR="0029467A">
        <w:rPr>
          <w:rFonts w:cs="Calibri"/>
          <w:u w:val="single"/>
        </w:rPr>
        <w:t xml:space="preserve">veinte ocho </w:t>
      </w:r>
      <w:r w:rsidRPr="006230BB">
        <w:rPr>
          <w:rFonts w:cs="Calibri"/>
          <w:u w:val="single"/>
        </w:rPr>
        <w:t xml:space="preserve"> mil </w:t>
      </w:r>
      <w:r w:rsidR="0029467A">
        <w:rPr>
          <w:rFonts w:cs="Calibri"/>
          <w:u w:val="single"/>
        </w:rPr>
        <w:t xml:space="preserve">novecientos sesenta y cinco </w:t>
      </w:r>
      <w:r w:rsidRPr="006230BB">
        <w:rPr>
          <w:rFonts w:cs="Calibri"/>
          <w:u w:val="single"/>
        </w:rPr>
        <w:t>pesos</w:t>
      </w:r>
      <w:r w:rsidR="0029467A">
        <w:rPr>
          <w:rFonts w:cs="Calibri"/>
          <w:u w:val="single"/>
        </w:rPr>
        <w:t xml:space="preserve"> 25</w:t>
      </w:r>
      <w:r w:rsidRPr="006230BB">
        <w:rPr>
          <w:rFonts w:cs="Calibri"/>
          <w:u w:val="single"/>
        </w:rPr>
        <w:t xml:space="preserve">/100 M.N.). </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37BA364E" w:rsidR="007D1E76" w:rsidRPr="00E74967" w:rsidRDefault="00C662B3" w:rsidP="00CB41C4">
      <w:pPr>
        <w:tabs>
          <w:tab w:val="left" w:leader="underscore" w:pos="9639"/>
        </w:tabs>
        <w:spacing w:after="0" w:line="240" w:lineRule="auto"/>
        <w:jc w:val="both"/>
        <w:rPr>
          <w:rFonts w:cs="Calibri"/>
        </w:rPr>
      </w:pPr>
      <w:r>
        <w:rPr>
          <w:rFonts w:cs="Calibri"/>
        </w:rPr>
        <w:t>31 DE AGOSTO 2005</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8C083BC" w:rsidR="007D1E76" w:rsidRPr="00E74967" w:rsidRDefault="00C662B3" w:rsidP="00CB41C4">
      <w:pPr>
        <w:tabs>
          <w:tab w:val="left" w:leader="underscore" w:pos="9639"/>
        </w:tabs>
        <w:spacing w:after="0" w:line="240" w:lineRule="auto"/>
        <w:jc w:val="both"/>
        <w:rPr>
          <w:rFonts w:cs="Calibri"/>
        </w:rPr>
      </w:pPr>
      <w:r w:rsidRPr="00A8346D">
        <w:rPr>
          <w:rFonts w:cs="Calibri"/>
          <w:u w:val="single"/>
        </w:rPr>
        <w:t>En  periodo de cada tres años, el Instituto Municipal de Vivienda de Moroleón, Gto, cambia de integrantes de Consejo Directivo, esto como lo establece el artículo 9 del primer capítulo del Reglamento Interno del Instituto.</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DC4DBB6" w14:textId="77777777" w:rsidR="00C662B3" w:rsidRPr="00A8346D" w:rsidRDefault="00C662B3" w:rsidP="00C662B3">
      <w:pPr>
        <w:spacing w:after="0" w:line="240" w:lineRule="auto"/>
        <w:rPr>
          <w:rFonts w:cs="Calibri"/>
          <w:u w:val="single"/>
        </w:rPr>
      </w:pPr>
      <w:r w:rsidRPr="00A8346D">
        <w:rPr>
          <w:rFonts w:cs="Calibri"/>
          <w:u w:val="single"/>
        </w:rPr>
        <w:t>Apoyar al desarrollo habitacional del Municipio, desarrollando la vivienda digna, apoyando a los ciudadanos a contar con un espacio de integras condiciones habitacionales.</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6E68D06E" w:rsidR="007D1E76" w:rsidRDefault="00C662B3" w:rsidP="00CB41C4">
      <w:pPr>
        <w:tabs>
          <w:tab w:val="left" w:leader="underscore" w:pos="9639"/>
        </w:tabs>
        <w:spacing w:after="0" w:line="240" w:lineRule="auto"/>
        <w:jc w:val="both"/>
        <w:rPr>
          <w:rFonts w:cs="Calibri"/>
        </w:rPr>
      </w:pPr>
      <w:r w:rsidRPr="00A8346D">
        <w:rPr>
          <w:rFonts w:cs="Calibri"/>
          <w:u w:val="single"/>
        </w:rPr>
        <w:t>Gestión de créditos para el mejoramiento de la vivienda urbana.</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C4B60F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96988">
        <w:rPr>
          <w:rFonts w:cs="Calibri"/>
        </w:rPr>
        <w:t>9</w:t>
      </w:r>
      <w:r w:rsidRPr="00E74967">
        <w:rPr>
          <w:rFonts w:cs="Calibri"/>
        </w:rPr>
        <w:t>).</w:t>
      </w:r>
    </w:p>
    <w:p w14:paraId="04F7186A" w14:textId="3782A6A3" w:rsidR="007D1E76" w:rsidRPr="00E74967" w:rsidRDefault="00C662B3" w:rsidP="00CB41C4">
      <w:pPr>
        <w:tabs>
          <w:tab w:val="left" w:leader="underscore" w:pos="9639"/>
        </w:tabs>
        <w:spacing w:after="0" w:line="240" w:lineRule="auto"/>
        <w:jc w:val="both"/>
        <w:rPr>
          <w:rFonts w:cs="Calibri"/>
        </w:rPr>
      </w:pPr>
      <w:r>
        <w:rPr>
          <w:rFonts w:cs="Calibri"/>
          <w:u w:val="single"/>
        </w:rPr>
        <w:t>Enero Diciembre 201</w:t>
      </w:r>
      <w:r w:rsidR="00C96988">
        <w:rPr>
          <w:rFonts w:cs="Calibri"/>
          <w:u w:val="single"/>
        </w:rPr>
        <w:t>9</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7DE332" w:rsidR="007D1E76" w:rsidRPr="00E74967" w:rsidRDefault="00C662B3" w:rsidP="00CB41C4">
      <w:pPr>
        <w:tabs>
          <w:tab w:val="left" w:leader="underscore" w:pos="9639"/>
        </w:tabs>
        <w:spacing w:after="0" w:line="240" w:lineRule="auto"/>
        <w:jc w:val="both"/>
        <w:rPr>
          <w:rFonts w:cs="Calibri"/>
        </w:rPr>
      </w:pPr>
      <w:r w:rsidRPr="001A1AA2">
        <w:rPr>
          <w:rFonts w:cs="Calibri"/>
          <w:u w:val="single"/>
        </w:rPr>
        <w:t>Persona Moral sin fines lucrativos</w:t>
      </w:r>
      <w:r w:rsidRPr="00E74967">
        <w:rPr>
          <w:rFonts w:cs="Calibri"/>
        </w:rPr>
        <w:t>_______________________________</w:t>
      </w:r>
      <w:r w:rsidRPr="00657009">
        <w:rPr>
          <w:rFonts w:cs="Calibri"/>
        </w:rPr>
        <w:t>______________</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A85EA58" w:rsidR="007D1E76" w:rsidRPr="00E74967" w:rsidRDefault="00C662B3" w:rsidP="00CB41C4">
      <w:pPr>
        <w:tabs>
          <w:tab w:val="left" w:leader="underscore" w:pos="9639"/>
        </w:tabs>
        <w:spacing w:after="0" w:line="240" w:lineRule="auto"/>
        <w:jc w:val="both"/>
        <w:rPr>
          <w:rFonts w:cs="Calibri"/>
        </w:rPr>
      </w:pPr>
      <w:r>
        <w:rPr>
          <w:rFonts w:cs="Calibri"/>
        </w:rPr>
        <w:t xml:space="preserve">ISR  RETENCION SALARIOS ASIMILADOS, RETENCION ISR HONORARIOS, IMPUESTO CEDULAR AL ESTADO SOBRE NOMINA Y RETENCION </w:t>
      </w:r>
      <w:r w:rsidR="00C96988">
        <w:rPr>
          <w:rFonts w:cs="Calibri"/>
        </w:rPr>
        <w:t>2.</w:t>
      </w:r>
      <w:r w:rsidR="00FD45D5">
        <w:rPr>
          <w:rFonts w:cs="Calibri"/>
        </w:rPr>
        <w:t>5</w:t>
      </w:r>
      <w:r>
        <w:rPr>
          <w:rFonts w:cs="Calibri"/>
        </w:rPr>
        <w:t>% HONORARIOS</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4DF2C4C" w:rsidR="00F20D66" w:rsidRDefault="00F20D66" w:rsidP="00CB41C4">
      <w:pPr>
        <w:pBdr>
          <w:bottom w:val="single" w:sz="12" w:space="1" w:color="auto"/>
        </w:pBdr>
        <w:tabs>
          <w:tab w:val="left" w:leader="underscore" w:pos="9639"/>
        </w:tabs>
        <w:spacing w:after="0" w:line="240" w:lineRule="auto"/>
        <w:jc w:val="both"/>
        <w:rPr>
          <w:rFonts w:cs="Calibri"/>
        </w:rPr>
      </w:pPr>
    </w:p>
    <w:p w14:paraId="15B3BA2A" w14:textId="77777777" w:rsidR="00F20D66" w:rsidRPr="00F20D66" w:rsidRDefault="00F20D66" w:rsidP="00F20D66">
      <w:pPr>
        <w:rPr>
          <w:rFonts w:cs="Calibri"/>
        </w:rPr>
      </w:pPr>
    </w:p>
    <w:p w14:paraId="43D346BA" w14:textId="77777777" w:rsidR="00F20D66" w:rsidRPr="00F20D66" w:rsidRDefault="00F20D66" w:rsidP="00F20D66">
      <w:pPr>
        <w:rPr>
          <w:rFonts w:cs="Calibri"/>
        </w:rPr>
      </w:pPr>
    </w:p>
    <w:tbl>
      <w:tblPr>
        <w:tblpPr w:leftFromText="141" w:rightFromText="141" w:vertAnchor="text" w:tblpY="1"/>
        <w:tblOverlap w:val="never"/>
        <w:tblW w:w="0" w:type="auto"/>
        <w:tblLayout w:type="fixed"/>
        <w:tblCellMar>
          <w:left w:w="30" w:type="dxa"/>
          <w:right w:w="30" w:type="dxa"/>
        </w:tblCellMar>
        <w:tblLook w:val="0000" w:firstRow="0" w:lastRow="0" w:firstColumn="0" w:lastColumn="0" w:noHBand="0" w:noVBand="0"/>
      </w:tblPr>
      <w:tblGrid>
        <w:gridCol w:w="4337"/>
      </w:tblGrid>
      <w:tr w:rsidR="00F20D66" w:rsidRPr="00F20D66" w14:paraId="43A213BA" w14:textId="77777777" w:rsidTr="00880EBB">
        <w:trPr>
          <w:trHeight w:val="293"/>
        </w:trPr>
        <w:tc>
          <w:tcPr>
            <w:tcW w:w="4337" w:type="dxa"/>
            <w:tcBorders>
              <w:top w:val="nil"/>
              <w:left w:val="nil"/>
              <w:bottom w:val="nil"/>
              <w:right w:val="nil"/>
            </w:tcBorders>
          </w:tcPr>
          <w:p w14:paraId="7A5901AC" w14:textId="77777777" w:rsidR="00F20D66" w:rsidRPr="00F20D66" w:rsidRDefault="00F20D66" w:rsidP="00880EBB">
            <w:pPr>
              <w:autoSpaceDE w:val="0"/>
              <w:autoSpaceDN w:val="0"/>
              <w:adjustRightInd w:val="0"/>
              <w:spacing w:after="0" w:line="240" w:lineRule="auto"/>
              <w:rPr>
                <w:rFonts w:ascii="Arial" w:hAnsi="Arial" w:cs="Arial"/>
                <w:color w:val="000000"/>
                <w:sz w:val="16"/>
                <w:szCs w:val="16"/>
                <w:lang w:eastAsia="es-MX"/>
              </w:rPr>
            </w:pPr>
            <w:r w:rsidRPr="00F20D66">
              <w:rPr>
                <w:rFonts w:ascii="Arial" w:hAnsi="Arial" w:cs="Arial"/>
                <w:color w:val="000000"/>
                <w:sz w:val="16"/>
                <w:szCs w:val="16"/>
                <w:lang w:eastAsia="es-MX"/>
              </w:rPr>
              <w:t>Bajo protesta de decir verdad declaramos que los Estados Financieros y sus notas, son razonablemente correctos y son responsabilidad del emisor.</w:t>
            </w:r>
          </w:p>
        </w:tc>
      </w:tr>
      <w:tr w:rsidR="00F20D66" w:rsidRPr="00F20D66" w14:paraId="743B2717" w14:textId="77777777" w:rsidTr="00880EBB">
        <w:trPr>
          <w:trHeight w:val="146"/>
        </w:trPr>
        <w:tc>
          <w:tcPr>
            <w:tcW w:w="4337" w:type="dxa"/>
            <w:tcBorders>
              <w:top w:val="nil"/>
              <w:left w:val="nil"/>
              <w:bottom w:val="nil"/>
              <w:right w:val="nil"/>
            </w:tcBorders>
          </w:tcPr>
          <w:p w14:paraId="3BDBA44E"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64D4B045" w14:textId="77777777" w:rsidTr="00880EBB">
        <w:trPr>
          <w:trHeight w:val="146"/>
        </w:trPr>
        <w:tc>
          <w:tcPr>
            <w:tcW w:w="4337" w:type="dxa"/>
            <w:tcBorders>
              <w:top w:val="nil"/>
              <w:left w:val="nil"/>
              <w:bottom w:val="nil"/>
              <w:right w:val="nil"/>
            </w:tcBorders>
          </w:tcPr>
          <w:p w14:paraId="1C5786A2" w14:textId="3019ACE3" w:rsidR="00F20D66" w:rsidRPr="00F20D66" w:rsidRDefault="00880EBB" w:rsidP="00880EBB">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   </w:t>
            </w:r>
            <w:r w:rsidR="00F20D66" w:rsidRPr="00F20D66">
              <w:rPr>
                <w:rFonts w:ascii="Arial" w:hAnsi="Arial" w:cs="Arial"/>
                <w:color w:val="000000"/>
                <w:sz w:val="16"/>
                <w:szCs w:val="16"/>
                <w:lang w:eastAsia="es-MX"/>
              </w:rPr>
              <w:t>Director de Imuvim</w:t>
            </w:r>
          </w:p>
        </w:tc>
      </w:tr>
      <w:tr w:rsidR="00F20D66" w:rsidRPr="00F20D66" w14:paraId="64E6933C" w14:textId="77777777" w:rsidTr="00880EBB">
        <w:trPr>
          <w:trHeight w:val="146"/>
        </w:trPr>
        <w:tc>
          <w:tcPr>
            <w:tcW w:w="4337" w:type="dxa"/>
            <w:tcBorders>
              <w:top w:val="nil"/>
              <w:left w:val="nil"/>
              <w:bottom w:val="nil"/>
              <w:right w:val="nil"/>
            </w:tcBorders>
          </w:tcPr>
          <w:p w14:paraId="4E7B227A"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54C4B463" w14:textId="77777777" w:rsidTr="00880EBB">
        <w:trPr>
          <w:trHeight w:val="146"/>
        </w:trPr>
        <w:tc>
          <w:tcPr>
            <w:tcW w:w="4337" w:type="dxa"/>
            <w:tcBorders>
              <w:top w:val="nil"/>
              <w:left w:val="nil"/>
              <w:bottom w:val="nil"/>
              <w:right w:val="nil"/>
            </w:tcBorders>
          </w:tcPr>
          <w:p w14:paraId="7CAB5ABB"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279A28B2" w14:textId="77777777" w:rsidTr="00880EBB">
        <w:trPr>
          <w:trHeight w:val="146"/>
        </w:trPr>
        <w:tc>
          <w:tcPr>
            <w:tcW w:w="4337" w:type="dxa"/>
            <w:tcBorders>
              <w:top w:val="nil"/>
              <w:left w:val="nil"/>
              <w:bottom w:val="nil"/>
              <w:right w:val="nil"/>
            </w:tcBorders>
          </w:tcPr>
          <w:p w14:paraId="19492EEE" w14:textId="6FFC5FA1" w:rsidR="00F20D66" w:rsidRPr="00F20D66" w:rsidRDefault="00B0615A" w:rsidP="00880EBB">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Lic. Enrique Gutiérrez García</w:t>
            </w:r>
          </w:p>
        </w:tc>
      </w:tr>
    </w:tbl>
    <w:p w14:paraId="60B34BF4" w14:textId="41FDECA3" w:rsidR="00880EBB" w:rsidRDefault="00880EBB" w:rsidP="00880EBB">
      <w:pPr>
        <w:tabs>
          <w:tab w:val="left" w:pos="1545"/>
        </w:tabs>
        <w:rPr>
          <w:rFonts w:cs="Calibri"/>
        </w:rPr>
      </w:pPr>
      <w:r>
        <w:rPr>
          <w:rFonts w:cs="Calibri"/>
        </w:rPr>
        <w:tab/>
        <w:t>Contador</w:t>
      </w:r>
    </w:p>
    <w:p w14:paraId="358C5367" w14:textId="77777777" w:rsidR="00880EBB" w:rsidRPr="00880EBB" w:rsidRDefault="00880EBB" w:rsidP="00880EBB">
      <w:pPr>
        <w:rPr>
          <w:rFonts w:cs="Calibri"/>
        </w:rPr>
      </w:pPr>
    </w:p>
    <w:p w14:paraId="456BEF7F" w14:textId="1EC272A0" w:rsidR="00880EBB" w:rsidRDefault="00880EBB" w:rsidP="00880EBB">
      <w:pPr>
        <w:tabs>
          <w:tab w:val="left" w:pos="1545"/>
        </w:tabs>
        <w:rPr>
          <w:rFonts w:cs="Calibri"/>
        </w:rPr>
      </w:pPr>
      <w:r>
        <w:rPr>
          <w:rFonts w:cs="Calibri"/>
        </w:rPr>
        <w:t xml:space="preserve">                               C. P. Carlos León Baeza</w:t>
      </w:r>
    </w:p>
    <w:p w14:paraId="3981DBD2" w14:textId="77777777" w:rsidR="00F20D66" w:rsidRDefault="00880EBB" w:rsidP="00880EBB">
      <w:pPr>
        <w:tabs>
          <w:tab w:val="left" w:pos="1545"/>
        </w:tabs>
        <w:rPr>
          <w:rFonts w:cs="Calibri"/>
        </w:rPr>
      </w:pPr>
      <w:r>
        <w:rPr>
          <w:rFonts w:cs="Calibri"/>
        </w:rPr>
        <w:br w:type="textWrapping" w:clear="all"/>
      </w:r>
    </w:p>
    <w:p w14:paraId="79C57AA0" w14:textId="77777777" w:rsidR="007610BC" w:rsidRPr="00F20D66" w:rsidRDefault="007610BC" w:rsidP="00F20D66">
      <w:pPr>
        <w:jc w:val="center"/>
        <w:rPr>
          <w:rFonts w:cs="Calibri"/>
        </w:rPr>
      </w:pPr>
    </w:p>
    <w:sectPr w:rsidR="007610BC" w:rsidRPr="00F20D66" w:rsidSect="00F947DB">
      <w:headerReference w:type="default" r:id="rId11"/>
      <w:footerReference w:type="default" r:id="rId12"/>
      <w:pgSz w:w="12242" w:h="19278" w:code="10000"/>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AA0B" w14:textId="77777777" w:rsidR="0098726B" w:rsidRDefault="0098726B" w:rsidP="00E00323">
      <w:pPr>
        <w:spacing w:after="0" w:line="240" w:lineRule="auto"/>
      </w:pPr>
      <w:r>
        <w:separator/>
      </w:r>
    </w:p>
  </w:endnote>
  <w:endnote w:type="continuationSeparator" w:id="0">
    <w:p w14:paraId="2BED2948" w14:textId="77777777" w:rsidR="0098726B" w:rsidRDefault="0098726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5E25B7D" w:rsidR="0012405A" w:rsidRDefault="0012405A">
        <w:pPr>
          <w:pStyle w:val="Piedepgina"/>
          <w:jc w:val="right"/>
        </w:pPr>
        <w:r>
          <w:fldChar w:fldCharType="begin"/>
        </w:r>
        <w:r>
          <w:instrText>PAGE   \* MERGEFORMAT</w:instrText>
        </w:r>
        <w:r>
          <w:fldChar w:fldCharType="separate"/>
        </w:r>
        <w:r w:rsidR="00F947DB" w:rsidRPr="00F947DB">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7F740" w14:textId="77777777" w:rsidR="0098726B" w:rsidRDefault="0098726B" w:rsidP="00E00323">
      <w:pPr>
        <w:spacing w:after="0" w:line="240" w:lineRule="auto"/>
      </w:pPr>
      <w:r>
        <w:separator/>
      </w:r>
    </w:p>
  </w:footnote>
  <w:footnote w:type="continuationSeparator" w:id="0">
    <w:p w14:paraId="092F5B0B" w14:textId="77777777" w:rsidR="0098726B" w:rsidRDefault="0098726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7F58C9C" w:rsidR="00154BA3" w:rsidRDefault="00C662B3" w:rsidP="00A4610E">
    <w:pPr>
      <w:pStyle w:val="Encabezado"/>
      <w:spacing w:after="0" w:line="240" w:lineRule="auto"/>
      <w:jc w:val="center"/>
    </w:pPr>
    <w:r>
      <w:t>INSTITUTO MUNICIPAL DE VIVIENDA MOROLEON GUANAJUATO</w:t>
    </w:r>
  </w:p>
  <w:p w14:paraId="23BCF864" w14:textId="3EC8A4E3" w:rsidR="0012798F" w:rsidRDefault="0050316B" w:rsidP="00A4610E">
    <w:pPr>
      <w:pStyle w:val="Encabezado"/>
      <w:spacing w:after="0" w:line="240" w:lineRule="auto"/>
      <w:jc w:val="center"/>
    </w:pPr>
    <w:r>
      <w:t>CORRESPONDI</w:t>
    </w:r>
    <w:r w:rsidR="0029467A">
      <w:t>E</w:t>
    </w:r>
    <w:r>
      <w:t xml:space="preserve">NTES AL </w:t>
    </w:r>
    <w:r w:rsidR="00B440B4">
      <w:t>30</w:t>
    </w:r>
    <w:r w:rsidR="00FD45D5">
      <w:t xml:space="preserve"> DE </w:t>
    </w:r>
    <w:r w:rsidR="00B440B4">
      <w:t>junio</w:t>
    </w:r>
    <w:r w:rsidR="00833BB2">
      <w:t xml:space="preserve"> </w:t>
    </w:r>
    <w:r w:rsidR="0011210D">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654B"/>
    <w:rsid w:val="00014613"/>
    <w:rsid w:val="00040D4F"/>
    <w:rsid w:val="00084EAE"/>
    <w:rsid w:val="00091CE6"/>
    <w:rsid w:val="000B7810"/>
    <w:rsid w:val="000C3365"/>
    <w:rsid w:val="000C477B"/>
    <w:rsid w:val="000F20D0"/>
    <w:rsid w:val="0011210D"/>
    <w:rsid w:val="0012405A"/>
    <w:rsid w:val="0012798F"/>
    <w:rsid w:val="00154BA3"/>
    <w:rsid w:val="00175668"/>
    <w:rsid w:val="001973A2"/>
    <w:rsid w:val="001C75F2"/>
    <w:rsid w:val="001D2063"/>
    <w:rsid w:val="001D43E9"/>
    <w:rsid w:val="001F2EF8"/>
    <w:rsid w:val="00205B85"/>
    <w:rsid w:val="0029467A"/>
    <w:rsid w:val="002B087E"/>
    <w:rsid w:val="002B67E8"/>
    <w:rsid w:val="002E0B99"/>
    <w:rsid w:val="003453CA"/>
    <w:rsid w:val="003D72A2"/>
    <w:rsid w:val="00403977"/>
    <w:rsid w:val="00435A87"/>
    <w:rsid w:val="004A58C8"/>
    <w:rsid w:val="004D65FA"/>
    <w:rsid w:val="004F3F46"/>
    <w:rsid w:val="0050316B"/>
    <w:rsid w:val="0054701E"/>
    <w:rsid w:val="005762A2"/>
    <w:rsid w:val="005D3E43"/>
    <w:rsid w:val="005E231E"/>
    <w:rsid w:val="00622021"/>
    <w:rsid w:val="006466A9"/>
    <w:rsid w:val="00657009"/>
    <w:rsid w:val="00681C79"/>
    <w:rsid w:val="006B0335"/>
    <w:rsid w:val="006E6924"/>
    <w:rsid w:val="00735826"/>
    <w:rsid w:val="00735C2D"/>
    <w:rsid w:val="007610BC"/>
    <w:rsid w:val="007714AB"/>
    <w:rsid w:val="007A3BF0"/>
    <w:rsid w:val="007D1E76"/>
    <w:rsid w:val="007D2978"/>
    <w:rsid w:val="007D4484"/>
    <w:rsid w:val="00833BB2"/>
    <w:rsid w:val="00850550"/>
    <w:rsid w:val="0086459F"/>
    <w:rsid w:val="00867AAC"/>
    <w:rsid w:val="00871F69"/>
    <w:rsid w:val="00880EBB"/>
    <w:rsid w:val="008B456B"/>
    <w:rsid w:val="008C0FF7"/>
    <w:rsid w:val="008C3BB8"/>
    <w:rsid w:val="008E076C"/>
    <w:rsid w:val="008E5CF6"/>
    <w:rsid w:val="00914CED"/>
    <w:rsid w:val="0092765C"/>
    <w:rsid w:val="009643E3"/>
    <w:rsid w:val="009725AB"/>
    <w:rsid w:val="0098726B"/>
    <w:rsid w:val="009F0E1A"/>
    <w:rsid w:val="00A06FAC"/>
    <w:rsid w:val="00A16916"/>
    <w:rsid w:val="00A4610E"/>
    <w:rsid w:val="00A648E3"/>
    <w:rsid w:val="00A730E0"/>
    <w:rsid w:val="00A91E51"/>
    <w:rsid w:val="00AA41E5"/>
    <w:rsid w:val="00AB722B"/>
    <w:rsid w:val="00AE1F6A"/>
    <w:rsid w:val="00B0615A"/>
    <w:rsid w:val="00B429E2"/>
    <w:rsid w:val="00B440B4"/>
    <w:rsid w:val="00B456FD"/>
    <w:rsid w:val="00BC54A7"/>
    <w:rsid w:val="00C02EDC"/>
    <w:rsid w:val="00C11AB4"/>
    <w:rsid w:val="00C662B3"/>
    <w:rsid w:val="00C96988"/>
    <w:rsid w:val="00C97E1E"/>
    <w:rsid w:val="00CB41C4"/>
    <w:rsid w:val="00CE76AA"/>
    <w:rsid w:val="00CF1316"/>
    <w:rsid w:val="00D13C44"/>
    <w:rsid w:val="00D71AA2"/>
    <w:rsid w:val="00D7311E"/>
    <w:rsid w:val="00D975B1"/>
    <w:rsid w:val="00E00323"/>
    <w:rsid w:val="00E709B0"/>
    <w:rsid w:val="00E74967"/>
    <w:rsid w:val="00E82318"/>
    <w:rsid w:val="00EA37F5"/>
    <w:rsid w:val="00EA7915"/>
    <w:rsid w:val="00EF4E1A"/>
    <w:rsid w:val="00F20D66"/>
    <w:rsid w:val="00F46719"/>
    <w:rsid w:val="00F54F6F"/>
    <w:rsid w:val="00F741F1"/>
    <w:rsid w:val="00F947DB"/>
    <w:rsid w:val="00FB05DC"/>
    <w:rsid w:val="00FD4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docId w15:val="{36231AAF-282A-4372-B377-2882C49F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AB950FDD-4B9F-4498-AE51-7FF246F7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2097</Words>
  <Characters>11537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Instituto Municipal de Vivienda IMUVIM</cp:lastModifiedBy>
  <cp:revision>42</cp:revision>
  <cp:lastPrinted>2025-07-25T20:10:00Z</cp:lastPrinted>
  <dcterms:created xsi:type="dcterms:W3CDTF">2019-07-21T23:42:00Z</dcterms:created>
  <dcterms:modified xsi:type="dcterms:W3CDTF">2025-07-25T20:12:00Z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